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23г.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single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назначены постановлением администрации Анучинского муниципального окр</w:t>
      </w:r>
      <w:r>
        <w:rPr>
          <w:color w:val="auto"/>
          <w:sz w:val="28"/>
          <w:szCs w:val="28"/>
        </w:rPr>
        <w:t xml:space="preserve">уга от </w:t>
      </w:r>
      <w:r>
        <w:rPr>
          <w:rFonts w:hint="default"/>
          <w:color w:val="auto"/>
          <w:sz w:val="28"/>
          <w:szCs w:val="28"/>
          <w:lang w:val="en-US"/>
        </w:rPr>
        <w:t>2</w:t>
      </w:r>
      <w:r>
        <w:rPr>
          <w:rFonts w:hint="default"/>
          <w:color w:val="auto"/>
          <w:sz w:val="28"/>
          <w:szCs w:val="28"/>
          <w:lang w:val="ru-RU"/>
        </w:rPr>
        <w:t>5</w:t>
      </w:r>
      <w:r>
        <w:rPr>
          <w:color w:val="auto"/>
          <w:sz w:val="28"/>
          <w:szCs w:val="28"/>
        </w:rPr>
        <w:t>.</w:t>
      </w:r>
      <w:r>
        <w:rPr>
          <w:rFonts w:hint="default"/>
          <w:color w:val="auto"/>
          <w:sz w:val="28"/>
          <w:szCs w:val="28"/>
          <w:lang w:val="en-US"/>
        </w:rPr>
        <w:t>09</w:t>
      </w:r>
      <w:r>
        <w:rPr>
          <w:color w:val="auto"/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23г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796</w:t>
      </w:r>
      <w:r>
        <w:rPr>
          <w:sz w:val="28"/>
          <w:szCs w:val="28"/>
        </w:rPr>
        <w:t xml:space="preserve">. </w:t>
      </w:r>
    </w:p>
    <w:p>
      <w:pPr>
        <w:ind w:firstLine="720"/>
        <w:jc w:val="both"/>
        <w:rPr>
          <w:rStyle w:val="4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Style w:val="4"/>
          <w:rFonts w:hint="default"/>
          <w:sz w:val="28"/>
          <w:szCs w:val="28"/>
          <w:lang w:val="en-US"/>
        </w:rPr>
        <w:t>https://анучинский.рф/administraciya/munitsipalnyy-kontrol/transportnyy-kontrol/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"https://анучинский.рф/administraciya/munitsipalnyy-kontrol/transportnyy-kontrol/"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https://анучинский.рф/administraciya/munitsipalnyy-kontrol/transportnyy-kontrol/</w:t>
      </w:r>
      <w:r>
        <w:rPr>
          <w:rFonts w:hint="default"/>
          <w:sz w:val="28"/>
          <w:szCs w:val="28"/>
        </w:rPr>
        <w:fldChar w:fldCharType="end"/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23г.</w:t>
      </w:r>
      <w:r>
        <w:rPr>
          <w:sz w:val="28"/>
          <w:szCs w:val="28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посредством официального сайта, адрес:  </w:t>
      </w:r>
      <w:r>
        <w:rPr>
          <w:rFonts w:hint="default"/>
          <w:sz w:val="28"/>
          <w:szCs w:val="28"/>
          <w:lang w:val="ru-RU"/>
        </w:rPr>
        <w:fldChar w:fldCharType="begin"/>
      </w:r>
      <w:r>
        <w:rPr>
          <w:rFonts w:hint="default"/>
          <w:sz w:val="28"/>
          <w:szCs w:val="28"/>
          <w:lang w:val="ru-RU"/>
        </w:rPr>
        <w:instrText xml:space="preserve"> HYPERLINK "https://анучинский.рф/obrashcheniya/sozdat-obrashchenie/" </w:instrText>
      </w:r>
      <w:r>
        <w:rPr>
          <w:rFonts w:hint="default"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lang w:val="ru-RU"/>
        </w:rPr>
        <w:t>https://анучинский.рф/obrashcheniya/sozdat-obrashchenie/</w:t>
      </w:r>
      <w:r>
        <w:rPr>
          <w:rFonts w:hint="default"/>
          <w:sz w:val="28"/>
          <w:szCs w:val="28"/>
          <w:lang w:val="ru-RU"/>
        </w:rPr>
        <w:fldChar w:fldCharType="end"/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</w:t>
      </w:r>
      <w:r>
        <w:rPr>
          <w:sz w:val="28"/>
          <w:szCs w:val="28"/>
        </w:rPr>
        <w:t>;</w:t>
      </w: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sz w:val="28"/>
          <w:szCs w:val="28"/>
          <w:lang w:val="ru-RU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/>
          <w:sz w:val="28"/>
          <w:szCs w:val="28"/>
          <w:lang w:val="en-US"/>
        </w:rPr>
        <w:t>0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en-US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/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не поступило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/>
          <w:sz w:val="28"/>
          <w:szCs w:val="28"/>
          <w:lang w:val="ru-RU"/>
        </w:rPr>
        <w:t xml:space="preserve"> не поступило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Выводы по результатам общественных обсуждений: </w:t>
      </w: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программу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>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none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>.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spacing w:after="160" w:line="259" w:lineRule="auto"/>
        <w:ind w:right="-480" w:rightChars="-200"/>
        <w:jc w:val="center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ru-RU" w:bidi="ar-SA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 w:cs="Times New Roman" w:eastAsiaTheme="minorHAnsi"/>
          <w:kern w:val="0"/>
          <w:sz w:val="28"/>
          <w:szCs w:val="28"/>
          <w:lang w:val="en-US" w:eastAsia="ru-RU" w:bidi="ar-SA"/>
        </w:rPr>
        <w:t>4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ru-RU" w:bidi="ar-SA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-480" w:rightChars="-200" w:firstLine="709"/>
        <w:jc w:val="both"/>
        <w:textAlignment w:val="auto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01.10.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202</w:t>
      </w:r>
      <w:r>
        <w:rPr>
          <w:rFonts w:hint="default" w:cs="Times New Roman" w:eastAsiaTheme="minorHAnsi"/>
          <w:kern w:val="0"/>
          <w:sz w:val="28"/>
          <w:szCs w:val="28"/>
          <w:lang w:val="ru-RU" w:eastAsia="en-US" w:bidi="ar-SA"/>
        </w:rPr>
        <w:t>4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г.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по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01.11.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202</w:t>
      </w:r>
      <w:r>
        <w:rPr>
          <w:rFonts w:hint="default" w:cs="Times New Roman" w:eastAsiaTheme="minorHAnsi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г.</w:t>
      </w:r>
    </w:p>
    <w:p>
      <w:pPr>
        <w:spacing w:after="160" w:line="259" w:lineRule="auto"/>
        <w:ind w:right="-480" w:rightChars="-200" w:firstLine="708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Проект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ru-RU" w:bidi="ar-SA"/>
        </w:rPr>
        <w:t xml:space="preserve">Программы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на 202</w:t>
      </w:r>
      <w:r>
        <w:rPr>
          <w:rFonts w:hint="default" w:cs="Times New Roman" w:eastAsiaTheme="minorHAnsi"/>
          <w:kern w:val="0"/>
          <w:sz w:val="28"/>
          <w:szCs w:val="28"/>
          <w:lang w:val="ru-RU" w:eastAsia="en-US" w:bidi="ar-SA"/>
        </w:rPr>
        <w:t>4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 w:eastAsiaTheme="minorHAnsi"/>
          <w:color w:val="000000"/>
          <w:kern w:val="0"/>
          <w:sz w:val="28"/>
          <w:szCs w:val="28"/>
          <w:lang w:eastAsia="en-US" w:bidi="ar-SA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 w:eastAsiaTheme="minorHAnsi"/>
          <w:color w:val="000000"/>
          <w:kern w:val="0"/>
          <w:sz w:val="28"/>
          <w:szCs w:val="28"/>
          <w:lang w:val="ru-RU" w:eastAsia="en-US" w:bidi="ar-SA"/>
        </w:rPr>
        <w:t>на территории</w:t>
      </w:r>
      <w:r>
        <w:rPr>
          <w:rFonts w:hint="default" w:ascii="Times New Roman" w:hAnsi="Times New Roman" w:cs="Times New Roman" w:eastAsiaTheme="minorHAnsi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hint="default" w:ascii="Times New Roman" w:hAnsi="Times New Roman" w:cs="Times New Roman" w:eastAsiaTheme="minorHAnsi"/>
          <w:bCs/>
          <w:kern w:val="0"/>
          <w:sz w:val="28"/>
          <w:szCs w:val="28"/>
          <w:lang w:eastAsia="en-US" w:bidi="ar-SA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размещен на официальном сайте муниципального образования в информационно-телекоммуникационной сети «Интернет» </w:t>
      </w:r>
      <w:r>
        <w:rPr>
          <w:rFonts w:hint="default" w:ascii="Times New Roman" w:hAnsi="Times New Roman" w:eastAsiaTheme="minorHAnsi" w:cstheme="minorBidi"/>
          <w:kern w:val="0"/>
          <w:sz w:val="28"/>
          <w:szCs w:val="28"/>
          <w:lang w:val="en-US" w:eastAsia="en-US" w:bidi="ar-SA"/>
        </w:rPr>
        <w:t>https://анучинский.рф/administraciya/munitsipalnyy-kontrol/transportnyy-kontrol/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</w:tbl>
    <w:p>
      <w:pPr>
        <w:spacing w:after="160" w:line="259" w:lineRule="auto"/>
        <w:ind w:right="-480" w:rightChars="-200" w:firstLine="708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№</w:t>
            </w:r>
          </w:p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</w:tr>
    </w:tbl>
    <w:p>
      <w:pPr>
        <w:spacing w:after="160" w:line="259" w:lineRule="auto"/>
        <w:ind w:right="-480" w:rightChars="-200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p>
      <w:pPr>
        <w:spacing w:after="160" w:line="259" w:lineRule="auto"/>
        <w:ind w:right="-480" w:rightChars="-200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p>
      <w:pPr>
        <w:spacing w:after="160" w:line="259" w:lineRule="auto"/>
        <w:ind w:right="-480" w:rightChars="-200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p>
      <w:pPr>
        <w:spacing w:after="0" w:line="240" w:lineRule="auto"/>
        <w:ind w:right="-480" w:rightChars="-200"/>
        <w:jc w:val="both"/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Главный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специалист отдела финансового контроля</w:t>
      </w:r>
    </w:p>
    <w:p>
      <w:pPr>
        <w:spacing w:after="0" w:line="240" w:lineRule="auto"/>
        <w:ind w:right="-480" w:rightChars="-200"/>
        <w:jc w:val="both"/>
        <w:rPr>
          <w:rFonts w:asciiTheme="minorHAnsi" w:hAnsiTheme="minorHAnsi" w:eastAsiaTheme="minorHAnsi" w:cstheme="minorBidi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администрации Анучинского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МО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                    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        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            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Меховский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В.В.</w:t>
      </w:r>
    </w:p>
    <w:p>
      <w:pPr>
        <w:rPr>
          <w:sz w:val="28"/>
          <w:szCs w:val="28"/>
        </w:rPr>
      </w:pPr>
    </w:p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02E22848"/>
    <w:rsid w:val="16E337C7"/>
    <w:rsid w:val="22270B0B"/>
    <w:rsid w:val="22542AC6"/>
    <w:rsid w:val="39822EE7"/>
    <w:rsid w:val="439C13C8"/>
    <w:rsid w:val="46E00CBA"/>
    <w:rsid w:val="591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2023-10-31T04:43:41Z</cp:lastPrinted>
  <dcterms:modified xsi:type="dcterms:W3CDTF">2023-10-31T04:45:21Z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B25D256049EA4457B5851BF044FCA52D</vt:lpwstr>
  </property>
</Properties>
</file>