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5"/>
        <w:pBdr/>
        <w:spacing w:after="0" w:before="0" w:line="240" w:lineRule="auto"/>
        <w:ind/>
        <w:jc w:val="center"/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  <w:t xml:space="preserve">Информация</w:t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</w:r>
    </w:p>
    <w:p>
      <w:pPr>
        <w:pStyle w:val="885"/>
        <w:pBdr/>
        <w:spacing w:after="0" w:before="0" w:line="240" w:lineRule="auto"/>
        <w:ind/>
        <w:jc w:val="center"/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  <w:t xml:space="preserve">по исполнению МП</w:t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  <w:t xml:space="preserve"> «Дорожная деятельность в отношении автомобильных дорог</w:t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</w:p>
    <w:p>
      <w:pPr>
        <w:pStyle w:val="885"/>
        <w:pBdr/>
        <w:spacing w:after="0" w:before="0" w:line="240" w:lineRule="auto"/>
        <w:ind/>
        <w:jc w:val="center"/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  <w:t xml:space="preserve">местного значения на территории Анучинского муниципального округа» на 202</w:t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  <w:t xml:space="preserve">-202</w:t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  <w:t xml:space="preserve">9</w:t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</w:r>
    </w:p>
    <w:p>
      <w:pPr>
        <w:pStyle w:val="885"/>
        <w:pBdr/>
        <w:spacing w:after="0" w:before="0" w:line="240" w:lineRule="auto"/>
        <w:ind/>
        <w:jc w:val="center"/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  <w:t xml:space="preserve">с 01.01.2026 по 16.10.2026 (9,5 месяцев)</w:t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  <w:lang w:val="ru-RU"/>
        </w:rPr>
      </w:r>
    </w:p>
    <w:p w14:paraId="1E097CFB">
      <w:pPr>
        <w:pStyle w:val="885"/>
        <w:pBdr/>
        <w:spacing w:after="0" w:before="0" w:line="240" w:lineRule="auto"/>
        <w:ind/>
        <w:jc w:val="both"/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</w:p>
    <w:p>
      <w:pPr>
        <w:pStyle w:val="885"/>
        <w:pBdr/>
        <w:spacing w:after="0" w:before="0" w:line="240" w:lineRule="auto"/>
        <w:ind/>
        <w:jc w:val="both"/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</w:p>
    <w:p>
      <w:pPr>
        <w:pStyle w:val="885"/>
        <w:pBdr/>
        <w:spacing w:after="0" w:before="0" w:line="240" w:lineRule="auto"/>
        <w:ind/>
        <w:jc w:val="both"/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dark1"/>
          <w:sz w:val="28"/>
          <w:szCs w:val="28"/>
        </w:rPr>
      </w:r>
    </w:p>
    <w:p>
      <w:pPr>
        <w:pStyle w:val="885"/>
        <w:pBdr/>
        <w:spacing w:after="0" w:before="0" w:line="240" w:lineRule="auto"/>
        <w:ind/>
        <w:jc w:val="both"/>
        <w:rPr>
          <w:rFonts w:ascii="Times New Roman" w:hAnsi="Times New Roman" w:cs="Times New Roman"/>
          <w:color w:val="000000" w:themeColor="dark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dark1"/>
          <w:sz w:val="28"/>
          <w:szCs w:val="28"/>
          <w:lang w:val="ru-RU"/>
        </w:rPr>
        <w:t xml:space="preserve">п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лан  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47 584 502,14 рублей, исполнено 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36 600 004,76 рублей</w:t>
      </w:r>
      <w:r>
        <w:rPr>
          <w:rFonts w:ascii="Times New Roman" w:hAnsi="Times New Roman" w:cs="Times New Roman"/>
          <w:color w:val="000000" w:themeColor="dark1"/>
          <w:sz w:val="28"/>
          <w:szCs w:val="28"/>
          <w:lang w:val="ru-RU"/>
        </w:rPr>
        <w:t xml:space="preserve">,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dark1"/>
          <w:sz w:val="28"/>
          <w:szCs w:val="28"/>
          <w:lang w:val="ru-RU"/>
        </w:rPr>
        <w:t xml:space="preserve">о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статок средств  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10 984 459,38 рублей</w:t>
      </w:r>
      <w:r>
        <w:rPr>
          <w:rFonts w:ascii="Times New Roman" w:hAnsi="Times New Roman" w:cs="Times New Roman"/>
          <w:color w:val="000000" w:themeColor="dark1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  <w:highlight w:val="none"/>
        </w:rPr>
      </w:r>
    </w:p>
    <w:p w14:paraId="4C61AFED">
      <w:pPr>
        <w:pStyle w:val="885"/>
        <w:pBdr/>
        <w:spacing w:after="0" w:before="0" w:line="240" w:lineRule="auto"/>
        <w:ind/>
        <w:jc w:val="both"/>
        <w:rPr>
          <w:rFonts w:ascii="Times New Roman" w:hAnsi="Times New Roman" w:cs="Times New Roman"/>
          <w:color w:val="000000" w:themeColor="dark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dark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  <w:highlight w:val="none"/>
        </w:rPr>
      </w:r>
    </w:p>
    <w:p w14:paraId="379D6B85">
      <w:pPr>
        <w:pStyle w:val="885"/>
        <w:pBdr/>
        <w:spacing w:after="0" w:before="0" w:line="240" w:lineRule="auto"/>
        <w:ind/>
        <w:jc w:val="both"/>
        <w:rPr>
          <w:rFonts w:ascii="Times New Roman" w:hAnsi="Times New Roman" w:cs="Times New Roman"/>
          <w:color w:val="000000" w:themeColor="dark1"/>
          <w:sz w:val="28"/>
          <w:szCs w:val="28"/>
        </w:rPr>
      </w:pPr>
      <w:r>
        <w:rPr>
          <w:rFonts w:ascii="Times New Roman" w:hAnsi="Times New Roman" w:cs="Times New Roman"/>
          <w:color w:val="000000" w:themeColor="dark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  <w:highlight w:val="none"/>
        </w:rPr>
      </w:r>
    </w:p>
    <w:tbl>
      <w:tblPr>
        <w:tblStyle w:val="894"/>
        <w:tblInd w:w="0" w:type="dxa"/>
        <w:tblW w:w="15616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90"/>
        <w:gridCol w:w="5767"/>
        <w:gridCol w:w="2759"/>
        <w:gridCol w:w="3349"/>
        <w:gridCol w:w="3151"/>
      </w:tblGrid>
      <w:tr>
        <w:trPr/>
        <w:tc>
          <w:tcPr>
            <w:tcBorders/>
            <w:tcW w:w="590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</w:rPr>
              <w:t xml:space="preserve">апитальный ремонт, ремонт, содержание автомобильных дорог общего пользования местного значения и искусственных сооружений</w:t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275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  <w:lang w:val="ru-RU"/>
              </w:rPr>
              <w:t xml:space="preserve">План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</w:rPr>
              <w:t xml:space="preserve">44 782 293,65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34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</w:rPr>
              <w:t xml:space="preserve">Исполнено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</w:rPr>
              <w:t xml:space="preserve">35 068 068,64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151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left"/>
              <w:rPr>
                <w:rFonts w:ascii="Times New Roman" w:hAnsi="Times New Roman" w:cs="Times New Roman"/>
                <w:b/>
                <w:bCs/>
                <w:i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Остаток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9 714 225,01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</w:tr>
      <w:tr>
        <w:trPr/>
        <w:tc>
          <w:tcPr>
            <w:tcBorders/>
            <w:tcW w:w="590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5767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dark1"/>
                <w:sz w:val="28"/>
                <w:szCs w:val="28"/>
              </w:rPr>
              <w:t xml:space="preserve">Выполнено по мероприяти</w:t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sz w:val="28"/>
                <w:szCs w:val="28"/>
                <w:lang w:val="ru-RU"/>
              </w:rPr>
              <w:t xml:space="preserve">ю</w:t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275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34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151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</w:tr>
      <w:tr>
        <w:trPr/>
        <w:tc>
          <w:tcPr>
            <w:tcBorders/>
            <w:tcW w:w="590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1)</w:t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</w:tcPr>
          <w:p>
            <w:pPr>
              <w:pStyle w:val="892"/>
              <w:widowControl w:val="false"/>
              <w:numPr>
                <w:ilvl w:val="0"/>
                <w:numId w:val="0"/>
              </w:numPr>
              <w:pBdr/>
              <w:spacing w:after="0" w:before="0" w:line="240" w:lineRule="auto"/>
              <w:ind w:firstLine="0" w:left="0"/>
              <w:contextualSpacing w:val="true"/>
              <w:jc w:val="both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</w:rPr>
              <w:t xml:space="preserve">Зимнее содержание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5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34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3 702 227,27</w:t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3151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</w:tr>
      <w:tr>
        <w:trPr/>
        <w:tc>
          <w:tcPr>
            <w:tcBorders/>
            <w:tcW w:w="590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2)</w:t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</w:tcPr>
          <w:p>
            <w:pPr>
              <w:pStyle w:val="892"/>
              <w:widowControl w:val="false"/>
              <w:pBdr/>
              <w:spacing w:after="0" w:before="0" w:line="240" w:lineRule="auto"/>
              <w:ind w:left="0"/>
              <w:contextualSpacing w:val="true"/>
              <w:jc w:val="both"/>
              <w:rPr>
                <w:rFonts w:ascii="Times New Roman" w:hAnsi="Times New Roman" w:cs="Times New Roman"/>
                <w:color w:val="000000" w:themeColor="dark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8"/>
                <w:szCs w:val="28"/>
                <w:lang w:val="ru-RU"/>
              </w:rPr>
              <w:t xml:space="preserve">Ремонт дорог</w:t>
            </w:r>
            <w:r>
              <w:rPr>
                <w:rFonts w:ascii="Times New Roman" w:hAnsi="Times New Roman" w:cs="Times New Roman"/>
                <w:color w:val="000000" w:themeColor="dark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dark1"/>
                <w:sz w:val="28"/>
                <w:szCs w:val="28"/>
              </w:rPr>
            </w:r>
          </w:p>
        </w:tc>
        <w:tc>
          <w:tcPr>
            <w:tcBorders/>
            <w:tcW w:w="275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34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20 129 798,67</w:t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3151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</w:tr>
      <w:tr>
        <w:trPr/>
        <w:tc>
          <w:tcPr>
            <w:tcBorders/>
            <w:tcW w:w="590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3)</w:t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  <w:t xml:space="preserve">Содержание дорог в весенне-осенний период (грейдирование, кюветы, обкос)</w:t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275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34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8"/>
                <w:szCs w:val="28"/>
              </w:rPr>
              <w:t xml:space="preserve">11 236 042,70</w:t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151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</w:tr>
      <w:tr>
        <w:trPr/>
        <w:tc>
          <w:tcPr>
            <w:tcBorders/>
            <w:tcW w:w="590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color w:val="000000" w:themeColor="dark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</w:rPr>
              <w:t xml:space="preserve">Повышение безопасности дорожного движения</w:t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sz w:val="28"/>
                <w:szCs w:val="28"/>
                <w:lang w:val="ru-RU"/>
              </w:rPr>
            </w:r>
          </w:p>
        </w:tc>
        <w:tc>
          <w:tcPr>
            <w:tcBorders/>
            <w:tcW w:w="275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</w:rPr>
              <w:t xml:space="preserve">план 1 000 000,00</w:t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34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  <w:lang w:val="ru-RU"/>
              </w:rPr>
              <w:t xml:space="preserve">Исполнен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914 706,38</w:t>
            </w:r>
            <w:r>
              <w:rPr>
                <w:rFonts w:ascii="Times New Roman" w:hAnsi="Times New Roman" w:cs="Times New Roman"/>
                <w:b/>
                <w:b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3151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Остаток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85 293,62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</w:tr>
      <w:tr>
        <w:trPr/>
        <w:tc>
          <w:tcPr>
            <w:tcBorders/>
            <w:tcW w:w="590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</w:rPr>
              <w:t xml:space="preserve">Выполнено по мероприяти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  <w:lang w:val="ru-RU"/>
              </w:rPr>
              <w:t xml:space="preserve">ю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5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  <w:r>
              <w:rPr>
                <w:rFonts w:ascii="Times New Roman" w:hAnsi="Times New Roman" w:cs="Times New Roman"/>
                <w:color w:val="000000" w:themeColor="dark1"/>
                <w:position w:val="0"/>
                <w:sz w:val="28"/>
                <w:szCs w:val="28"/>
                <w:vertAlign w:val="baseline"/>
              </w:rPr>
            </w:r>
          </w:p>
        </w:tc>
        <w:tc>
          <w:tcPr>
            <w:tcBorders/>
            <w:tcW w:w="334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По данному мероприятию оплата произведена за нанесение дорожной разметки, приобретение дорожных знаков, установка дорожных знаков, установка остановочного пункта с. Лугохутор.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3151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90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3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Borders/>
            <w:tcW w:w="5767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  <w:shd w:val="clear" w:color="auto" w:fill="auto"/>
              </w:rPr>
              <w:t xml:space="preserve">Разработка, проверка проектно-сметной документации, проведение инженерных изысканий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Borders/>
            <w:tcW w:w="275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План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 100 0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00,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00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Borders/>
            <w:tcW w:w="334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Исполнено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50 000,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00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Borders/>
            <w:tcW w:w="3151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Остаток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shd w:val="clear" w:color="auto" w:fill="auto"/>
                <w:vertAlign w:val="baseline"/>
                <w:lang w:val="ru-RU"/>
              </w:rPr>
              <w:t xml:space="preserve">50 000,00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</w:tr>
      <w:tr>
        <w:trPr/>
        <w:tc>
          <w:tcPr>
            <w:tcBorders/>
            <w:tcW w:w="590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dark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</w:rPr>
              <w:t xml:space="preserve">Выполнено по мероприяти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  <w:lang w:val="ru-RU"/>
              </w:rPr>
              <w:t xml:space="preserve">ю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dark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dark1"/>
                <w:sz w:val="28"/>
                <w:szCs w:val="28"/>
              </w:rPr>
            </w:r>
          </w:p>
        </w:tc>
        <w:tc>
          <w:tcPr>
            <w:tcBorders/>
            <w:tcW w:w="2759" w:type="dxa"/>
          </w:tcPr>
          <w:p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3349" w:type="dxa"/>
          </w:tcPr>
          <w:p>
            <w:pPr>
              <w:pStyle w:val="885"/>
              <w:pBdr/>
              <w:spacing w:after="0" w:before="0" w:line="276" w:lineRule="auto"/>
              <w:ind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  <w:t xml:space="preserve">Израсходовано на составление ЛСР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ремонт и содержание автомобильных дорог.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151" w:type="dxa"/>
          </w:tcPr>
          <w:p w14:paraId="02A70707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590" w:type="dxa"/>
            <w:vMerge w:val="restart"/>
          </w:tcPr>
          <w:p w14:paraId="653D2EA0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  <w:vMerge w:val="restart"/>
          </w:tcPr>
          <w:p w14:paraId="712ED42D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color w:val="000000" w:themeColor="dark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</w:rPr>
              <w:t xml:space="preserve">Разработка паспортов безопасности объектов транспортной инфраструктуры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</w:rPr>
            </w:r>
          </w:p>
        </w:tc>
        <w:tc>
          <w:tcPr>
            <w:tcBorders/>
            <w:tcW w:w="2759" w:type="dxa"/>
            <w:vMerge w:val="restart"/>
          </w:tcPr>
          <w:p w14:paraId="74D392C1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План 571 987,62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3349" w:type="dxa"/>
            <w:vMerge w:val="restart"/>
          </w:tcPr>
          <w:p w14:paraId="4214118F">
            <w:pPr>
              <w:pStyle w:val="885"/>
              <w:pBdr/>
              <w:spacing w:after="0" w:before="0" w:line="276" w:lineRule="auto"/>
              <w:ind/>
              <w:jc w:val="left"/>
              <w:rPr>
                <w:rFonts w:ascii="Times New Roman" w:hAnsi="Times New Roman" w:cs="Times New Roman"/>
                <w:b/>
                <w:bCs/>
                <w:i/>
                <w:i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Исполнено 567 267,74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</w:r>
          </w:p>
        </w:tc>
        <w:tc>
          <w:tcPr>
            <w:tcBorders/>
            <w:tcW w:w="3151" w:type="dxa"/>
            <w:vMerge w:val="restart"/>
          </w:tcPr>
          <w:p w14:paraId="6F276AB3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Остаток 4 719,88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90" w:type="dxa"/>
            <w:vMerge w:val="restart"/>
          </w:tcPr>
          <w:p w14:paraId="179BC875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  <w:vMerge w:val="restart"/>
          </w:tcPr>
          <w:p w14:paraId="30B69F90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</w:rPr>
              <w:t xml:space="preserve">Выполнено по мероприятию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</w:rPr>
            </w:r>
          </w:p>
        </w:tc>
        <w:tc>
          <w:tcPr>
            <w:tcBorders/>
            <w:tcW w:w="2759" w:type="dxa"/>
            <w:vMerge w:val="restart"/>
          </w:tcPr>
          <w:p w14:paraId="6F8B6C91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3349" w:type="dxa"/>
            <w:vMerge w:val="restart"/>
          </w:tcPr>
          <w:p w14:paraId="2B5DF1E8">
            <w:pPr>
              <w:pStyle w:val="885"/>
              <w:pBdr/>
              <w:spacing w:after="0" w:before="0" w:line="276" w:lineRule="auto"/>
              <w:ind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  <w:t xml:space="preserve">По данному мероприятию были разработаны паспорта на ОТИ - 8 шт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</w:r>
          </w:p>
        </w:tc>
        <w:tc>
          <w:tcPr>
            <w:tcBorders/>
            <w:tcW w:w="3151" w:type="dxa"/>
            <w:vMerge w:val="restart"/>
          </w:tcPr>
          <w:p w14:paraId="03DEC28E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590" w:type="dxa"/>
            <w:vMerge w:val="restart"/>
          </w:tcPr>
          <w:p w14:paraId="1C7A2E69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  <w:vMerge w:val="restart"/>
          </w:tcPr>
          <w:p w14:paraId="5DE91684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color w:val="000000" w:themeColor="dark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</w:rPr>
              <w:t xml:space="preserve">Содержание автомобильных дорог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sz w:val="28"/>
                <w:szCs w:val="28"/>
              </w:rPr>
            </w:r>
          </w:p>
        </w:tc>
        <w:tc>
          <w:tcPr>
            <w:tcBorders/>
            <w:tcW w:w="2759" w:type="dxa"/>
            <w:vMerge w:val="restart"/>
          </w:tcPr>
          <w:p w14:paraId="3BD9CAF4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План 1 130 220,87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3349" w:type="dxa"/>
            <w:vMerge w:val="restart"/>
          </w:tcPr>
          <w:p w14:paraId="1753A0E2">
            <w:pPr>
              <w:pStyle w:val="885"/>
              <w:pBdr/>
              <w:spacing w:after="0" w:before="0" w:line="276" w:lineRule="auto"/>
              <w:ind/>
              <w:jc w:val="left"/>
              <w:rPr>
                <w:rFonts w:ascii="Times New Roman" w:hAnsi="Times New Roman" w:cs="Times New Roman"/>
                <w:b/>
                <w:bCs/>
                <w:i/>
                <w:i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Израсходовано 0,00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</w:r>
          </w:p>
        </w:tc>
        <w:tc>
          <w:tcPr>
            <w:tcBorders/>
            <w:tcW w:w="3151" w:type="dxa"/>
            <w:vMerge w:val="restart"/>
          </w:tcPr>
          <w:p w14:paraId="7F6648A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 xml:space="preserve">Остаток 1 130 220,87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90" w:type="dxa"/>
            <w:vMerge w:val="restart"/>
          </w:tcPr>
          <w:p w14:paraId="79F03E23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5767" w:type="dxa"/>
            <w:vMerge w:val="restart"/>
          </w:tcPr>
          <w:p w14:paraId="63FE98CA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dark1"/>
                <w:sz w:val="28"/>
                <w:szCs w:val="28"/>
              </w:rPr>
            </w:r>
          </w:p>
        </w:tc>
        <w:tc>
          <w:tcPr>
            <w:tcBorders/>
            <w:tcW w:w="2759" w:type="dxa"/>
            <w:vMerge w:val="restart"/>
          </w:tcPr>
          <w:p w14:paraId="0FE2C22B">
            <w:pPr>
              <w:pStyle w:val="885"/>
              <w:widowControl w:val="false"/>
              <w:pBdr/>
              <w:spacing w:after="0" w:before="0" w:line="240" w:lineRule="auto"/>
              <w:ind/>
              <w:jc w:val="both"/>
              <w:rPr>
                <w:rFonts w:ascii="Times New Roman" w:hAnsi="Times New Roman" w:cs="Times New Roman"/>
                <w:b w:val="0"/>
                <w:bCs w:val="0"/>
                <w:i w:val="0"/>
                <w:iCs/>
                <w:color w:val="000000" w:themeColor="dark1"/>
                <w:position w:val="0"/>
                <w:sz w:val="28"/>
                <w:szCs w:val="28"/>
                <w:vertAlign w:val="baseli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  <w:t xml:space="preserve">Данные средства были предусмотрены на софинансирование ремонтных работ, не были использованы, т.к. субсидя из КБ на 2026 год не выделена.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dark1"/>
                <w:position w:val="0"/>
                <w:sz w:val="28"/>
                <w:szCs w:val="28"/>
                <w:vertAlign w:val="baseline"/>
                <w:lang w:val="ru-RU"/>
              </w:rPr>
            </w:r>
          </w:p>
        </w:tc>
        <w:tc>
          <w:tcPr>
            <w:tcBorders/>
            <w:tcW w:w="3349" w:type="dxa"/>
            <w:vMerge w:val="restart"/>
          </w:tcPr>
          <w:p w14:paraId="475DCB56">
            <w:pPr>
              <w:pStyle w:val="885"/>
              <w:pBdr/>
              <w:spacing w:after="0" w:before="0" w:line="276" w:lineRule="auto"/>
              <w:ind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</w:r>
          </w:p>
        </w:tc>
        <w:tc>
          <w:tcPr>
            <w:tcBorders/>
            <w:tcW w:w="3151" w:type="dxa"/>
            <w:vMerge w:val="restart"/>
          </w:tcPr>
          <w:p w14:paraId="24A296D8">
            <w:pPr>
              <w:pBdr/>
              <w:spacing/>
              <w:ind/>
              <w:rPr/>
            </w:pPr>
            <w:r/>
            <w:r/>
          </w:p>
        </w:tc>
      </w:tr>
    </w:tbl>
    <w:p>
      <w:pPr>
        <w:pStyle w:val="885"/>
        <w:pBdr/>
        <w:spacing w:after="0" w:before="0" w:line="240" w:lineRule="auto"/>
        <w:ind/>
        <w:jc w:val="both"/>
        <w:rPr>
          <w:rFonts w:ascii="Times New Roman" w:hAnsi="Times New Roman" w:cs="Times New Roman"/>
          <w:color w:val="000000" w:themeColor="dark1"/>
          <w:sz w:val="28"/>
          <w:szCs w:val="28"/>
        </w:rPr>
      </w:pPr>
      <w:r>
        <w:rPr>
          <w:color w:val="000000" w:themeColor="dark1"/>
          <w:lang w:val="ru-RU"/>
        </w:rPr>
      </w:r>
      <w:bookmarkStart w:id="2" w:name="_GoBack"/>
      <w:r/>
      <w:bookmarkEnd w:id="2"/>
      <w:r>
        <w:rPr>
          <w:rFonts w:ascii="Times New Roman" w:hAnsi="Times New Roman" w:cs="Times New Roman"/>
          <w:color w:val="000000" w:themeColor="dark1"/>
          <w:sz w:val="28"/>
          <w:szCs w:val="28"/>
        </w:rPr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</w:r>
    </w:p>
    <w:sectPr>
      <w:footnotePr/>
      <w:endnotePr/>
      <w:type w:val="nextPage"/>
      <w:pgSz w:h="11906" w:orient="landscape" w:w="16838"/>
      <w:pgMar w:top="1360" w:right="658" w:bottom="866" w:left="780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Arial">
    <w:panose1 w:val="020B0604020202020204"/>
  </w:font>
  <w:font w:name="SimSun">
    <w:panose1 w:val="02010600030101010101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doNotExpandShiftReturn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1"/>
    <w:basedOn w:val="885"/>
    <w:next w:val="885"/>
    <w:link w:val="83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7">
    <w:name w:val="Heading 2"/>
    <w:basedOn w:val="885"/>
    <w:next w:val="885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8">
    <w:name w:val="Heading 3"/>
    <w:basedOn w:val="885"/>
    <w:next w:val="885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5"/>
    <w:next w:val="885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5"/>
    <w:next w:val="885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5"/>
    <w:next w:val="885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5"/>
    <w:next w:val="885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5"/>
    <w:next w:val="885"/>
    <w:link w:val="84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5"/>
    <w:next w:val="885"/>
    <w:link w:val="84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5" w:default="1">
    <w:name w:val="No List"/>
    <w:uiPriority w:val="99"/>
    <w:semiHidden/>
    <w:unhideWhenUsed/>
    <w:pPr>
      <w:pBdr/>
      <w:spacing/>
      <w:ind/>
    </w:pPr>
  </w:style>
  <w:style w:type="character" w:styleId="836">
    <w:name w:val="Heading 1 Char"/>
    <w:basedOn w:val="886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7">
    <w:name w:val="Heading 2 Char"/>
    <w:basedOn w:val="88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8">
    <w:name w:val="Heading 3 Char"/>
    <w:basedOn w:val="88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9">
    <w:name w:val="Heading 4 Char"/>
    <w:basedOn w:val="886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0">
    <w:name w:val="Heading 5 Char"/>
    <w:basedOn w:val="886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1">
    <w:name w:val="Heading 6 Char"/>
    <w:basedOn w:val="886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2">
    <w:name w:val="Heading 7 Char"/>
    <w:basedOn w:val="886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3">
    <w:name w:val="Heading 8 Char"/>
    <w:basedOn w:val="886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4">
    <w:name w:val="Heading 9 Char"/>
    <w:basedOn w:val="88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Title"/>
    <w:basedOn w:val="885"/>
    <w:next w:val="885"/>
    <w:link w:val="84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6">
    <w:name w:val="Title Char"/>
    <w:basedOn w:val="886"/>
    <w:link w:val="84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7">
    <w:name w:val="Subtitle"/>
    <w:basedOn w:val="885"/>
    <w:next w:val="885"/>
    <w:link w:val="84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8">
    <w:name w:val="Subtitle Char"/>
    <w:basedOn w:val="886"/>
    <w:link w:val="84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9">
    <w:name w:val="Quote"/>
    <w:basedOn w:val="885"/>
    <w:next w:val="885"/>
    <w:link w:val="85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0">
    <w:name w:val="Quote Char"/>
    <w:basedOn w:val="886"/>
    <w:link w:val="84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1">
    <w:name w:val="Intense Emphasis"/>
    <w:basedOn w:val="88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2">
    <w:name w:val="Intense Quote"/>
    <w:basedOn w:val="885"/>
    <w:next w:val="885"/>
    <w:link w:val="85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3">
    <w:name w:val="Intense Quote Char"/>
    <w:basedOn w:val="886"/>
    <w:link w:val="85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4">
    <w:name w:val="Intense Reference"/>
    <w:basedOn w:val="88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5">
    <w:name w:val="No Spacing"/>
    <w:basedOn w:val="885"/>
    <w:uiPriority w:val="1"/>
    <w:qFormat/>
    <w:pPr>
      <w:pBdr/>
      <w:spacing w:after="0" w:line="240" w:lineRule="auto"/>
      <w:ind/>
    </w:pPr>
  </w:style>
  <w:style w:type="character" w:styleId="856">
    <w:name w:val="Subtle Emphasis"/>
    <w:basedOn w:val="88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8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8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8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8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5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86"/>
    <w:link w:val="861"/>
    <w:uiPriority w:val="99"/>
    <w:pPr>
      <w:pBdr/>
      <w:spacing/>
      <w:ind/>
    </w:pPr>
  </w:style>
  <w:style w:type="paragraph" w:styleId="863">
    <w:name w:val="Footer"/>
    <w:basedOn w:val="885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86"/>
    <w:link w:val="863"/>
    <w:uiPriority w:val="99"/>
    <w:pPr>
      <w:pBdr/>
      <w:spacing/>
      <w:ind/>
    </w:pPr>
  </w:style>
  <w:style w:type="paragraph" w:styleId="865">
    <w:name w:val="footnote text"/>
    <w:basedOn w:val="885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Footnote Text Char"/>
    <w:basedOn w:val="886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886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885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Endnote Text Char"/>
    <w:basedOn w:val="886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886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Hyperlink"/>
    <w:basedOn w:val="88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2">
    <w:name w:val="FollowedHyperlink"/>
    <w:basedOn w:val="88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885"/>
    <w:next w:val="885"/>
    <w:uiPriority w:val="39"/>
    <w:unhideWhenUsed/>
    <w:pPr>
      <w:pBdr/>
      <w:spacing w:after="100"/>
      <w:ind/>
    </w:pPr>
  </w:style>
  <w:style w:type="paragraph" w:styleId="874">
    <w:name w:val="toc 2"/>
    <w:basedOn w:val="885"/>
    <w:next w:val="885"/>
    <w:uiPriority w:val="39"/>
    <w:unhideWhenUsed/>
    <w:pPr>
      <w:pBdr/>
      <w:spacing w:after="100"/>
      <w:ind w:left="220"/>
    </w:pPr>
  </w:style>
  <w:style w:type="paragraph" w:styleId="875">
    <w:name w:val="toc 3"/>
    <w:basedOn w:val="885"/>
    <w:next w:val="885"/>
    <w:uiPriority w:val="39"/>
    <w:unhideWhenUsed/>
    <w:pPr>
      <w:pBdr/>
      <w:spacing w:after="100"/>
      <w:ind w:left="440"/>
    </w:pPr>
  </w:style>
  <w:style w:type="paragraph" w:styleId="876">
    <w:name w:val="toc 4"/>
    <w:basedOn w:val="885"/>
    <w:next w:val="885"/>
    <w:uiPriority w:val="39"/>
    <w:unhideWhenUsed/>
    <w:pPr>
      <w:pBdr/>
      <w:spacing w:after="100"/>
      <w:ind w:left="660"/>
    </w:pPr>
  </w:style>
  <w:style w:type="paragraph" w:styleId="877">
    <w:name w:val="toc 5"/>
    <w:basedOn w:val="885"/>
    <w:next w:val="885"/>
    <w:uiPriority w:val="39"/>
    <w:unhideWhenUsed/>
    <w:pPr>
      <w:pBdr/>
      <w:spacing w:after="100"/>
      <w:ind w:left="880"/>
    </w:pPr>
  </w:style>
  <w:style w:type="paragraph" w:styleId="878">
    <w:name w:val="toc 6"/>
    <w:basedOn w:val="885"/>
    <w:next w:val="885"/>
    <w:uiPriority w:val="39"/>
    <w:unhideWhenUsed/>
    <w:pPr>
      <w:pBdr/>
      <w:spacing w:after="100"/>
      <w:ind w:left="1100"/>
    </w:pPr>
  </w:style>
  <w:style w:type="paragraph" w:styleId="879">
    <w:name w:val="toc 7"/>
    <w:basedOn w:val="885"/>
    <w:next w:val="885"/>
    <w:uiPriority w:val="39"/>
    <w:unhideWhenUsed/>
    <w:pPr>
      <w:pBdr/>
      <w:spacing w:after="100"/>
      <w:ind w:left="1320"/>
    </w:pPr>
  </w:style>
  <w:style w:type="paragraph" w:styleId="880">
    <w:name w:val="toc 8"/>
    <w:basedOn w:val="885"/>
    <w:next w:val="885"/>
    <w:uiPriority w:val="39"/>
    <w:unhideWhenUsed/>
    <w:pPr>
      <w:pBdr/>
      <w:spacing w:after="100"/>
      <w:ind w:left="1540"/>
    </w:pPr>
  </w:style>
  <w:style w:type="paragraph" w:styleId="881">
    <w:name w:val="toc 9"/>
    <w:basedOn w:val="885"/>
    <w:next w:val="885"/>
    <w:uiPriority w:val="39"/>
    <w:unhideWhenUsed/>
    <w:pPr>
      <w:pBdr/>
      <w:spacing w:after="100"/>
      <w:ind w:left="1760"/>
    </w:pPr>
  </w:style>
  <w:style w:type="character" w:styleId="882">
    <w:name w:val="Placeholder Text"/>
    <w:basedOn w:val="886"/>
    <w:uiPriority w:val="99"/>
    <w:semiHidden/>
    <w:pPr>
      <w:pBdr/>
      <w:spacing/>
      <w:ind/>
    </w:pPr>
    <w:rPr>
      <w:color w:val="666666"/>
    </w:rPr>
  </w:style>
  <w:style w:type="paragraph" w:styleId="883">
    <w:name w:val="TOC Heading"/>
    <w:uiPriority w:val="39"/>
    <w:unhideWhenUsed/>
    <w:pPr>
      <w:pBdr/>
      <w:spacing/>
      <w:ind/>
    </w:pPr>
  </w:style>
  <w:style w:type="paragraph" w:styleId="884">
    <w:name w:val="table of figures"/>
    <w:basedOn w:val="885"/>
    <w:next w:val="885"/>
    <w:uiPriority w:val="99"/>
    <w:unhideWhenUsed/>
    <w:pPr>
      <w:pBdr/>
      <w:spacing w:after="0" w:afterAutospacing="0"/>
      <w:ind/>
    </w:pPr>
  </w:style>
  <w:style w:type="paragraph" w:styleId="885" w:default="1">
    <w:name w:val="Normal"/>
    <w:uiPriority w:val="0"/>
    <w:qFormat/>
    <w:pPr>
      <w:widowControl w:val="true"/>
      <w:pBdr/>
      <w:bidi w:val="false"/>
      <w:spacing w:after="160" w:before="0" w:line="259" w:lineRule="auto"/>
      <w:ind/>
      <w:jc w:val="left"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86" w:default="1">
    <w:name w:val="Default Paragraph Font"/>
    <w:uiPriority w:val="0"/>
    <w:semiHidden/>
    <w:qFormat/>
    <w:pPr>
      <w:pBdr/>
      <w:spacing/>
      <w:ind/>
    </w:pPr>
  </w:style>
  <w:style w:type="paragraph" w:styleId="887">
    <w:name w:val="Заголовок"/>
    <w:basedOn w:val="885"/>
    <w:next w:val="888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888">
    <w:name w:val="Body Text"/>
    <w:basedOn w:val="885"/>
    <w:pPr>
      <w:pBdr/>
      <w:spacing w:after="140" w:before="0" w:line="276" w:lineRule="auto"/>
      <w:ind/>
    </w:pPr>
  </w:style>
  <w:style w:type="paragraph" w:styleId="889">
    <w:name w:val="List"/>
    <w:basedOn w:val="888"/>
    <w:pPr>
      <w:pBdr/>
      <w:spacing/>
      <w:ind/>
    </w:pPr>
    <w:rPr>
      <w:rFonts w:cs="Arial"/>
    </w:rPr>
  </w:style>
  <w:style w:type="paragraph" w:styleId="890">
    <w:name w:val="Caption"/>
    <w:basedOn w:val="885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891">
    <w:name w:val="Указатель"/>
    <w:basedOn w:val="885"/>
    <w:qFormat/>
    <w:pPr>
      <w:suppressLineNumbers w:val="true"/>
      <w:pBdr/>
      <w:spacing/>
      <w:ind/>
    </w:pPr>
    <w:rPr>
      <w:rFonts w:cs="Arial"/>
    </w:rPr>
  </w:style>
  <w:style w:type="paragraph" w:styleId="892">
    <w:name w:val="List Paragraph"/>
    <w:basedOn w:val="885"/>
    <w:uiPriority w:val="34"/>
    <w:qFormat/>
    <w:pPr>
      <w:pBdr/>
      <w:spacing w:after="160" w:before="0"/>
      <w:ind w:left="720"/>
      <w:contextualSpacing w:val="true"/>
    </w:pPr>
  </w:style>
  <w:style w:type="table" w:styleId="893" w:default="1">
    <w:name w:val="Normal Table"/>
    <w:uiPriority w:val="0"/>
    <w:semiHidden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Table Grid"/>
    <w:basedOn w:val="893"/>
    <w:uiPriority w:val="0"/>
    <w:qFormat/>
    <w:pPr>
      <w:pBdr/>
      <w:spacing/>
      <w:ind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BurdeynayaOV</dc:creator>
  <dc:description/>
  <dc:language>ru-RU</dc:language>
  <cp:revision>3</cp:revision>
  <dcterms:created xsi:type="dcterms:W3CDTF">2024-10-10T23:06:00Z</dcterms:created>
  <dcterms:modified xsi:type="dcterms:W3CDTF">2026-10-19T06:47:06Z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F7184241AC964D54B2E2E9BCED42ED93_13</vt:lpwstr>
  </property>
  <property fmtid="{D5CDD505-2E9C-101B-9397-08002B2CF9AE}" pid="3" name="KSOProductBuildVer">
    <vt:lpwstr>1049-12.2.0.18607</vt:lpwstr>
  </property>
</Properties>
</file>