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70370">
      <w:pPr>
        <w:pStyle w:val="2"/>
        <w:spacing w:line="360" w:lineRule="auto"/>
        <w:ind w:left="0" w:right="141"/>
        <w:jc w:val="center"/>
        <w:rPr>
          <w:i w:val="0"/>
          <w:sz w:val="28"/>
          <w:szCs w:val="28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1270</wp:posOffset>
            </wp:positionV>
            <wp:extent cx="2390775" cy="1346200"/>
            <wp:effectExtent l="0" t="0" r="0" b="6985"/>
            <wp:wrapTight wrapText="bothSides">
              <wp:wrapPolygon>
                <wp:start x="0" y="0"/>
                <wp:lineTo x="0" y="21406"/>
                <wp:lineTo x="21342" y="21406"/>
                <wp:lineTo x="21342" y="0"/>
                <wp:lineTo x="0" y="0"/>
              </wp:wrapPolygon>
            </wp:wrapTight>
            <wp:docPr id="1" name="Рисунок 1" descr="Карт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рт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346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 w:val="0"/>
          <w:sz w:val="28"/>
          <w:szCs w:val="28"/>
        </w:rPr>
        <w:t>Вниманию руководителей предприятий торговли!</w:t>
      </w:r>
    </w:p>
    <w:p w14:paraId="30410400">
      <w:pPr>
        <w:tabs>
          <w:tab w:val="center" w:pos="4677"/>
          <w:tab w:val="right" w:pos="935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По инициативе Губернатора О.Н. Кожемяко в Приморском крае  с 2019 года реализуется социальный проект «Карта «Приморец» (далее – проект), основной целью которого является улучшение качества жизни жителей края, нуждающихся в социальной поддержке.      Проектом предусмотрена возможность получения карты 19 категориям граждан – жителями Приморского края, в т.ч. имеющие звание «Ветеран труда», участники ВОВ, ветераны боевых действий, инвалиды, дети-инвалиды, пенсионеры, один из родителей в многодетной семье, награжденные нагрудным знаком «Почетный донор СССР», «Почетный донор России» и др.</w:t>
      </w:r>
    </w:p>
    <w:p w14:paraId="4943443F">
      <w:pPr>
        <w:tabs>
          <w:tab w:val="center" w:pos="4677"/>
          <w:tab w:val="right" w:pos="9355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Суть проекта – создание единого инструмента, с помощью которого жители края могут с максимальной простотой и удобством воспользоваться своим правом на различные виды льгот и мер социальной поддержки, производить безналичную оплату товаров и услуг, получать скидки и другие преференции от партнёров проекта.</w:t>
      </w:r>
    </w:p>
    <w:p w14:paraId="349E1355">
      <w:pPr>
        <w:tabs>
          <w:tab w:val="center" w:pos="4677"/>
          <w:tab w:val="right" w:pos="9355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Карта «Приморец» объединяет в себе:</w:t>
      </w:r>
    </w:p>
    <w:p w14:paraId="2F5873AE">
      <w:pPr>
        <w:tabs>
          <w:tab w:val="right" w:pos="9355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функционал банковской карты национальной платёжной системы «МИР» (перечисление пенсии, различных мер социальной поддержки и компенсаций в денежном эквиваленте и других выплат);</w:t>
      </w:r>
    </w:p>
    <w:p w14:paraId="6F5A9ED8">
      <w:pPr>
        <w:tabs>
          <w:tab w:val="right" w:pos="9355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универсальный сервис использования программ лояльности участников проекта, таких как сети магазинов розничной торговли, аптечные организации, организации сферы услуг, услуг здравоохранения и другие:</w:t>
      </w:r>
    </w:p>
    <w:p w14:paraId="028CACFF">
      <w:pPr>
        <w:tabs>
          <w:tab w:val="center" w:pos="4677"/>
          <w:tab w:val="right" w:pos="9355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получение денежной выплаты для оплаты проезда в городском транспорте.</w:t>
      </w:r>
    </w:p>
    <w:p w14:paraId="69D57519">
      <w:pPr>
        <w:tabs>
          <w:tab w:val="center" w:pos="4677"/>
          <w:tab w:val="right" w:pos="9355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Присоединившиеся к проекту партнёры получают значимые преимущества для ведения бизнеса, а именно:</w:t>
      </w:r>
    </w:p>
    <w:p w14:paraId="3CFA1E58">
      <w:pPr>
        <w:tabs>
          <w:tab w:val="center" w:pos="4677"/>
          <w:tab w:val="right" w:pos="9355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расширение потока клиентов и, соответственно, увеличение доходов;</w:t>
      </w:r>
    </w:p>
    <w:p w14:paraId="626AF3C7">
      <w:pPr>
        <w:tabs>
          <w:tab w:val="center" w:pos="4677"/>
          <w:tab w:val="right" w:pos="9355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регулярное освещение деятельности по участию в проекте в средствах массовой информации, в том числе в качестве организаций, активно участвующих в социальной поддержке жителей Приморского края;</w:t>
      </w:r>
    </w:p>
    <w:p w14:paraId="3C170304">
      <w:pPr>
        <w:tabs>
          <w:tab w:val="center" w:pos="4677"/>
          <w:tab w:val="right" w:pos="9355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места размещения участников проекта отмечаются соответствующими рекламными материалами, стикерами, баннерами.</w:t>
      </w:r>
    </w:p>
    <w:p w14:paraId="175C7B95">
      <w:pPr>
        <w:pStyle w:val="1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Подробная информация о проекте размещена на официальном портале Правительства Приморского края по адресу</w:t>
      </w:r>
      <w:r>
        <w:rPr>
          <w:rFonts w:ascii="Times New Roman" w:hAnsi="Times New Roman" w:cs="Times New Roman"/>
          <w:color w:val="1F497D"/>
          <w:sz w:val="24"/>
          <w:szCs w:val="24"/>
          <w:lang w:eastAsia="en-US"/>
        </w:rPr>
        <w:t xml:space="preserve">:                                                                                     </w:t>
      </w:r>
      <w:r>
        <w:fldChar w:fldCharType="begin"/>
      </w:r>
      <w:r>
        <w:instrText xml:space="preserve"> HYPERLINK "https://primorsky.ru/authorities/executive-agencies/departments/it/primorets"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4"/>
          <w:szCs w:val="24"/>
          <w:lang w:eastAsia="en-US"/>
        </w:rPr>
        <w:t>https://primorsky.ru/authorities/executive-agencies/departments/it/primorets</w:t>
      </w:r>
      <w:r>
        <w:rPr>
          <w:rStyle w:val="6"/>
          <w:rFonts w:ascii="Times New Roman" w:hAnsi="Times New Roman" w:cs="Times New Roman"/>
          <w:sz w:val="24"/>
          <w:szCs w:val="24"/>
          <w:lang w:eastAsia="en-US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9FCA4F9">
      <w:pPr>
        <w:pStyle w:val="1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Участниками проекта в Анучинском муниципальном округе стали:</w:t>
      </w:r>
    </w:p>
    <w:p w14:paraId="5C51C018">
      <w:pPr>
        <w:pStyle w:val="1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магазин «Меркурий» ИП Вишневской Е.А., с. Пухово;</w:t>
      </w:r>
    </w:p>
    <w:p w14:paraId="7A4AFDEF">
      <w:pPr>
        <w:pStyle w:val="1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магазин «</w:t>
      </w:r>
      <w:r>
        <w:rPr>
          <w:rFonts w:hint="default" w:ascii="Times New Roman" w:hAnsi="Times New Roman"/>
          <w:sz w:val="24"/>
          <w:szCs w:val="24"/>
          <w:lang w:val="ru-RU"/>
        </w:rPr>
        <w:t>Горизонт</w:t>
      </w:r>
      <w:r>
        <w:rPr>
          <w:rFonts w:ascii="Times New Roman" w:hAnsi="Times New Roman"/>
          <w:sz w:val="24"/>
          <w:szCs w:val="24"/>
        </w:rPr>
        <w:t xml:space="preserve">» ИП </w:t>
      </w:r>
      <w:r>
        <w:rPr>
          <w:rFonts w:ascii="Times New Roman" w:hAnsi="Times New Roman"/>
          <w:sz w:val="24"/>
          <w:szCs w:val="24"/>
          <w:lang w:val="ru-RU"/>
        </w:rPr>
        <w:t>Матяш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Л.М.</w:t>
      </w:r>
      <w:r>
        <w:rPr>
          <w:rFonts w:ascii="Times New Roman" w:hAnsi="Times New Roman"/>
          <w:sz w:val="24"/>
          <w:szCs w:val="24"/>
        </w:rPr>
        <w:t>, с.</w:t>
      </w:r>
      <w:r>
        <w:rPr>
          <w:rFonts w:ascii="Times New Roman" w:hAnsi="Times New Roman"/>
          <w:sz w:val="24"/>
          <w:szCs w:val="24"/>
          <w:lang w:val="ru-RU"/>
        </w:rPr>
        <w:t>Новогордеевка</w:t>
      </w:r>
      <w:r>
        <w:rPr>
          <w:rFonts w:ascii="Times New Roman" w:hAnsi="Times New Roman"/>
          <w:sz w:val="24"/>
          <w:szCs w:val="24"/>
        </w:rPr>
        <w:t>.</w:t>
      </w:r>
    </w:p>
    <w:p w14:paraId="2A915E40">
      <w:pPr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/>
          <w:sz w:val="24"/>
          <w:szCs w:val="24"/>
        </w:rPr>
        <w:t xml:space="preserve">  Уважаемые руководители предприятий торговли, осуществляющих деятельность на территории Анучинского муниципального округа! Предлагаем принять участие в улучшении качества жизни жителей края и присоединиться к социальному проекту «Карта «Приморец».</w:t>
      </w:r>
    </w:p>
    <w:bookmarkEnd w:id="0"/>
    <w:p w14:paraId="115367F5">
      <w:pPr>
        <w:pStyle w:val="10"/>
        <w:spacing w:after="120" w:line="360" w:lineRule="auto"/>
        <w:jc w:val="both"/>
      </w:pPr>
      <w:r>
        <w:rPr>
          <w:rFonts w:ascii="Times New Roman" w:hAnsi="Times New Roman"/>
          <w:b/>
          <w:sz w:val="28"/>
          <w:szCs w:val="28"/>
        </w:rPr>
        <w:t xml:space="preserve">    По всем вопросам обращаться в финансово-экономическое управление администрации Анучинского муниципального округа                                                                         по тел. 8 42362 91796, 89089634281 – Горевая Татьяна Михайловна.</w:t>
      </w:r>
    </w:p>
    <w:sectPr>
      <w:pgSz w:w="11906" w:h="16838"/>
      <w:pgMar w:top="568" w:right="850" w:bottom="993" w:left="1134" w:header="0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FreeSans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ITC Benguiat Sberbank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EC8"/>
    <w:rsid w:val="00276EC8"/>
    <w:rsid w:val="007C6920"/>
    <w:rsid w:val="00B82194"/>
    <w:rsid w:val="00F9379A"/>
    <w:rsid w:val="0DCF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9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7"/>
    <w:basedOn w:val="1"/>
    <w:next w:val="1"/>
    <w:link w:val="23"/>
    <w:qFormat/>
    <w:uiPriority w:val="99"/>
    <w:pPr>
      <w:keepNext/>
      <w:spacing w:after="0" w:line="240" w:lineRule="auto"/>
      <w:ind w:left="-284" w:right="-142"/>
      <w:outlineLvl w:val="6"/>
    </w:pPr>
    <w:rPr>
      <w:rFonts w:ascii="Times New Roman" w:hAnsi="Times New Roman"/>
      <w:i/>
      <w:iCs/>
      <w:sz w:val="20"/>
      <w:szCs w:val="20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annotation reference"/>
    <w:basedOn w:val="3"/>
    <w:semiHidden/>
    <w:unhideWhenUsed/>
    <w:qFormat/>
    <w:uiPriority w:val="99"/>
    <w:rPr>
      <w:rFonts w:cs="Times New Roman"/>
      <w:sz w:val="16"/>
    </w:rPr>
  </w:style>
  <w:style w:type="character" w:styleId="6">
    <w:name w:val="Hyperlink"/>
    <w:uiPriority w:val="0"/>
    <w:rPr>
      <w:color w:val="0000FF"/>
      <w:u w:val="single"/>
    </w:rPr>
  </w:style>
  <w:style w:type="paragraph" w:styleId="7">
    <w:name w:val="Balloon Text"/>
    <w:basedOn w:val="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caption"/>
    <w:basedOn w:val="1"/>
    <w:qFormat/>
    <w:uiPriority w:val="0"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9">
    <w:name w:val="annotation text"/>
    <w:basedOn w:val="1"/>
    <w:semiHidden/>
    <w:unhideWhenUsed/>
    <w:qFormat/>
    <w:uiPriority w:val="99"/>
    <w:pPr>
      <w:spacing w:line="240" w:lineRule="auto"/>
    </w:pPr>
    <w:rPr>
      <w:rFonts w:ascii="Calibri" w:hAnsi="Calibri"/>
      <w:sz w:val="20"/>
      <w:szCs w:val="20"/>
    </w:rPr>
  </w:style>
  <w:style w:type="paragraph" w:styleId="10">
    <w:name w:val="header"/>
    <w:basedOn w:val="1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Body Text"/>
    <w:basedOn w:val="1"/>
    <w:qFormat/>
    <w:uiPriority w:val="99"/>
    <w:pPr>
      <w:spacing w:after="0" w:line="240" w:lineRule="auto"/>
    </w:pPr>
    <w:rPr>
      <w:rFonts w:ascii="Times New Roman" w:hAnsi="Times New Roman"/>
      <w:i/>
      <w:iCs/>
      <w:sz w:val="24"/>
      <w:szCs w:val="24"/>
    </w:rPr>
  </w:style>
  <w:style w:type="paragraph" w:styleId="12">
    <w:name w:val="index heading"/>
    <w:basedOn w:val="1"/>
    <w:qFormat/>
    <w:uiPriority w:val="0"/>
    <w:pPr>
      <w:suppressLineNumbers/>
    </w:pPr>
    <w:rPr>
      <w:rFonts w:ascii="Times New Roman" w:hAnsi="Times New Roman" w:cs="FreeSans"/>
    </w:rPr>
  </w:style>
  <w:style w:type="paragraph" w:styleId="13">
    <w:name w:val="Title"/>
    <w:basedOn w:val="1"/>
    <w:next w:val="11"/>
    <w:qFormat/>
    <w:uiPriority w:val="0"/>
    <w:pPr>
      <w:keepNext/>
      <w:spacing w:before="240" w:after="120"/>
    </w:pPr>
    <w:rPr>
      <w:rFonts w:ascii="Times New Roman" w:hAnsi="Times New Roman" w:eastAsia="Tahoma" w:cs="FreeSans"/>
      <w:sz w:val="28"/>
      <w:szCs w:val="28"/>
    </w:rPr>
  </w:style>
  <w:style w:type="paragraph" w:styleId="14">
    <w:name w:val="footer"/>
    <w:basedOn w:val="1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5">
    <w:name w:val="List"/>
    <w:basedOn w:val="11"/>
    <w:qFormat/>
    <w:uiPriority w:val="0"/>
    <w:rPr>
      <w:rFonts w:cs="FreeSans"/>
    </w:rPr>
  </w:style>
  <w:style w:type="paragraph" w:styleId="16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character" w:customStyle="1" w:styleId="17">
    <w:name w:val="Текст выноски Знак"/>
    <w:basedOn w:val="3"/>
    <w:semiHidden/>
    <w:qFormat/>
    <w:locked/>
    <w:uiPriority w:val="99"/>
    <w:rPr>
      <w:rFonts w:ascii="Tahoma" w:hAnsi="Tahoma" w:cs="Tahoma"/>
      <w:sz w:val="16"/>
      <w:szCs w:val="16"/>
    </w:rPr>
  </w:style>
  <w:style w:type="character" w:customStyle="1" w:styleId="18">
    <w:name w:val="Интернет-ссылка"/>
    <w:basedOn w:val="3"/>
    <w:unhideWhenUsed/>
    <w:uiPriority w:val="99"/>
    <w:rPr>
      <w:rFonts w:cs="Times New Roman"/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Основной текст Знак"/>
    <w:basedOn w:val="3"/>
    <w:qFormat/>
    <w:locked/>
    <w:uiPriority w:val="99"/>
    <w:rPr>
      <w:rFonts w:ascii="Times New Roman" w:hAnsi="Times New Roman" w:cs="Times New Roman"/>
      <w:i/>
      <w:iCs/>
      <w:sz w:val="24"/>
      <w:szCs w:val="24"/>
      <w:lang w:val="zh-CN" w:eastAsia="ru-RU"/>
    </w:rPr>
  </w:style>
  <w:style w:type="character" w:customStyle="1" w:styleId="20">
    <w:name w:val="Верхний колонтитул Знак"/>
    <w:basedOn w:val="3"/>
    <w:qFormat/>
    <w:locked/>
    <w:uiPriority w:val="99"/>
    <w:rPr>
      <w:rFonts w:cs="Times New Roman"/>
    </w:rPr>
  </w:style>
  <w:style w:type="character" w:customStyle="1" w:styleId="21">
    <w:name w:val="Нижний колонтитул Знак"/>
    <w:basedOn w:val="3"/>
    <w:qFormat/>
    <w:locked/>
    <w:uiPriority w:val="99"/>
    <w:rPr>
      <w:rFonts w:cs="Times New Roman"/>
    </w:rPr>
  </w:style>
  <w:style w:type="character" w:customStyle="1" w:styleId="22">
    <w:name w:val="Текст примечания Знак"/>
    <w:basedOn w:val="3"/>
    <w:semiHidden/>
    <w:qFormat/>
    <w:locked/>
    <w:uiPriority w:val="99"/>
    <w:rPr>
      <w:rFonts w:ascii="Calibri" w:hAnsi="Calibri" w:cs="Times New Roman"/>
      <w:sz w:val="20"/>
      <w:szCs w:val="20"/>
      <w:lang w:val="zh-CN" w:eastAsia="ru-RU"/>
    </w:rPr>
  </w:style>
  <w:style w:type="character" w:customStyle="1" w:styleId="23">
    <w:name w:val="Заголовок 7 Знак"/>
    <w:basedOn w:val="3"/>
    <w:link w:val="2"/>
    <w:qFormat/>
    <w:uiPriority w:val="99"/>
    <w:rPr>
      <w:rFonts w:ascii="Times New Roman" w:hAnsi="Times New Roman" w:cs="Times New Roman"/>
      <w:i/>
      <w:iCs/>
      <w:sz w:val="20"/>
      <w:szCs w:val="20"/>
      <w:lang w:eastAsia="ru-RU"/>
    </w:rPr>
  </w:style>
  <w:style w:type="paragraph" w:customStyle="1" w:styleId="24">
    <w:name w:val="Default"/>
    <w:qFormat/>
    <w:uiPriority w:val="0"/>
    <w:pPr>
      <w:suppressAutoHyphens/>
    </w:pPr>
    <w:rPr>
      <w:rFonts w:ascii="Times New Roman" w:hAnsi="Times New Roman" w:cs="Times New Roman" w:eastAsiaTheme="minorEastAsia"/>
      <w:color w:val="000000"/>
      <w:sz w:val="24"/>
      <w:szCs w:val="24"/>
      <w:lang w:val="ru-RU" w:eastAsia="ru-RU" w:bidi="ar-SA"/>
    </w:rPr>
  </w:style>
  <w:style w:type="paragraph" w:customStyle="1" w:styleId="25">
    <w:name w:val="Верхний и нижний колонтитулы"/>
    <w:basedOn w:val="1"/>
    <w:qFormat/>
    <w:uiPriority w:val="0"/>
  </w:style>
  <w:style w:type="paragraph" w:styleId="26">
    <w:name w:val="List Paragraph"/>
    <w:basedOn w:val="1"/>
    <w:qFormat/>
    <w:uiPriority w:val="34"/>
    <w:pPr>
      <w:ind w:left="720"/>
      <w:contextualSpacing/>
    </w:pPr>
    <w:rPr>
      <w:rFonts w:ascii="Calibri" w:hAnsi="Calibri"/>
    </w:rPr>
  </w:style>
  <w:style w:type="paragraph" w:customStyle="1" w:styleId="27">
    <w:name w:val="Стиль"/>
    <w:qFormat/>
    <w:uiPriority w:val="99"/>
    <w:pPr>
      <w:suppressAutoHyphens/>
      <w:jc w:val="both"/>
    </w:pPr>
    <w:rPr>
      <w:rFonts w:ascii="ITC Benguiat Sberbank" w:hAnsi="ITC Benguiat Sberbank" w:cs="ITC Benguiat Sberbank" w:eastAsiaTheme="minorEastAsia"/>
      <w:sz w:val="24"/>
      <w:szCs w:val="24"/>
      <w:lang w:val="en-US" w:eastAsia="ru-RU" w:bidi="ar-SA"/>
    </w:rPr>
  </w:style>
  <w:style w:type="paragraph" w:customStyle="1" w:styleId="28">
    <w:name w:val="ConsPlusNonformat"/>
    <w:qFormat/>
    <w:uiPriority w:val="0"/>
    <w:pPr>
      <w:widowControl w:val="0"/>
      <w:suppressAutoHyphens/>
    </w:pPr>
    <w:rPr>
      <w:rFonts w:ascii="Courier New" w:hAnsi="Courier New" w:cs="Courier New" w:eastAsiaTheme="minorEastAsia"/>
      <w:szCs w:val="20"/>
      <w:lang w:val="ru-RU" w:eastAsia="ru-RU" w:bidi="ar-SA"/>
    </w:rPr>
  </w:style>
  <w:style w:type="character" w:customStyle="1" w:styleId="29">
    <w:name w:val="WW8Num2z7"/>
    <w:uiPriority w:val="0"/>
  </w:style>
  <w:style w:type="character" w:customStyle="1" w:styleId="30">
    <w:name w:val="Unresolved Mention"/>
    <w:basedOn w:val="3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51565-77B2-4B89-BAB8-8367F16676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Северный банк ОАО "Сбербанк России"</Company>
  <Pages>1</Pages>
  <Words>440</Words>
  <Characters>2508</Characters>
  <Lines>20</Lines>
  <Paragraphs>5</Paragraphs>
  <TotalTime>122</TotalTime>
  <ScaleCrop>false</ScaleCrop>
  <LinksUpToDate>false</LinksUpToDate>
  <CharactersWithSpaces>2943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2022-08-16T03:11:00Z</dcterms:created>
  <dc:creator>Sokolova_NN</dc:creator>
  <cp:lastModifiedBy>GorevayaTM</cp:lastModifiedBy>
  <cp:lastPrinted>2016-10-17T08:16:00Z</cp:lastPrinted>
  <dcterms:modified xsi:type="dcterms:W3CDTF">2025-11-24T03:53:18Z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1049-12.2.0.23155</vt:lpwstr>
  </property>
  <property fmtid="{D5CDD505-2E9C-101B-9397-08002B2CF9AE}" pid="7" name="ICV">
    <vt:lpwstr>80C3D0D088874067A9C616C038588A5F_12</vt:lpwstr>
  </property>
</Properties>
</file>