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1363"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ОБЗОР</w:t>
      </w:r>
    </w:p>
    <w:p w14:paraId="058E83E3" w14:textId="6E867AE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 xml:space="preserve">за </w:t>
      </w:r>
      <w:r>
        <w:rPr>
          <w:rFonts w:ascii="TimesNewRoman,Bold" w:eastAsia="NSimSun" w:hAnsi="TimesNewRoman,Bold" w:cs="Mangal"/>
          <w:b/>
          <w:color w:val="000000"/>
          <w:kern w:val="2"/>
          <w:sz w:val="28"/>
          <w:szCs w:val="24"/>
          <w:lang w:eastAsia="zh-CN" w:bidi="hi-IN"/>
        </w:rPr>
        <w:t>3</w:t>
      </w:r>
      <w:r w:rsidRPr="0028081F">
        <w:rPr>
          <w:rFonts w:ascii="TimesNewRoman,Bold" w:eastAsia="NSimSun" w:hAnsi="TimesNewRoman,Bold" w:cs="Mangal"/>
          <w:b/>
          <w:color w:val="000000"/>
          <w:kern w:val="2"/>
          <w:sz w:val="28"/>
          <w:szCs w:val="24"/>
          <w:lang w:eastAsia="zh-CN" w:bidi="hi-IN"/>
        </w:rPr>
        <w:t xml:space="preserve"> квартал 2020 года правоприменительной практики</w:t>
      </w:r>
    </w:p>
    <w:p w14:paraId="47665F2A"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по результатам вступивших в законную силу решений судов о</w:t>
      </w:r>
    </w:p>
    <w:p w14:paraId="3D5D9939"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признании недействительными ненормативных правовых актов,</w:t>
      </w:r>
    </w:p>
    <w:p w14:paraId="4ACC0276"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незаконными решений и действий (бездействия) федеральных органов</w:t>
      </w:r>
    </w:p>
    <w:p w14:paraId="0F875225"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государственной власти, органов государственной власти субъектов</w:t>
      </w:r>
    </w:p>
    <w:p w14:paraId="556710C9" w14:textId="77777777" w:rsidR="0028081F" w:rsidRPr="0028081F" w:rsidRDefault="0028081F" w:rsidP="0028081F">
      <w:pPr>
        <w:spacing w:after="0" w:line="240" w:lineRule="auto"/>
        <w:jc w:val="center"/>
        <w:rPr>
          <w:rFonts w:ascii="Times New Roman" w:eastAsia="NSimSun" w:hAnsi="Times New Roman" w:cs="Mangal"/>
          <w:kern w:val="2"/>
          <w:sz w:val="24"/>
          <w:szCs w:val="24"/>
          <w:lang w:eastAsia="zh-CN" w:bidi="hi-IN"/>
        </w:rPr>
      </w:pPr>
      <w:r w:rsidRPr="0028081F">
        <w:rPr>
          <w:rFonts w:ascii="TimesNewRoman,Bold" w:eastAsia="NSimSun" w:hAnsi="TimesNewRoman,Bold" w:cs="Mangal"/>
          <w:b/>
          <w:color w:val="000000"/>
          <w:kern w:val="2"/>
          <w:sz w:val="28"/>
          <w:szCs w:val="24"/>
          <w:lang w:eastAsia="zh-CN" w:bidi="hi-IN"/>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6470F2C3" w14:textId="77777777" w:rsidR="0028081F" w:rsidRDefault="0028081F" w:rsidP="0028081F">
      <w:pPr>
        <w:jc w:val="both"/>
        <w:rPr>
          <w:rStyle w:val="a4"/>
          <w:rFonts w:ascii="Times New Roman" w:hAnsi="Times New Roman" w:cs="Times New Roman"/>
          <w:i w:val="0"/>
          <w:iCs w:val="0"/>
          <w:sz w:val="28"/>
          <w:szCs w:val="28"/>
        </w:rPr>
      </w:pPr>
    </w:p>
    <w:p w14:paraId="3046ADBF" w14:textId="6186EF64" w:rsidR="0028081F" w:rsidRPr="0028081F" w:rsidRDefault="0028081F" w:rsidP="0028081F">
      <w:pPr>
        <w:ind w:firstLine="708"/>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соответствии с п.2.1 ст.6 Федерального закона от 25.12.2008 №273-ФЗ «О противодействии коррупции»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14:paraId="22844198" w14:textId="3DCAAAD8" w:rsidR="0028081F" w:rsidRPr="0028081F" w:rsidRDefault="0028081F" w:rsidP="0028081F">
      <w:pPr>
        <w:ind w:firstLine="708"/>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Во</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исполнение вышеназванной</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нормы</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целесообразно</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рассмотреть</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следующие судебные решения:</w:t>
      </w:r>
    </w:p>
    <w:p w14:paraId="46D52974"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1. 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такое решение, к собственникам жилых помещений в указанном доме требования о его сносе или реконструкции в разумный срок за счет их собственных средств. 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 в доме путем выкупа, за исключением жилых помещений, принадлежащих на праве собственности муниципальному образованию.</w:t>
      </w:r>
    </w:p>
    <w:p w14:paraId="7AA41AAF"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lastRenderedPageBreak/>
        <w:t>М. обратилась в суд с иском к администрации муниципального образования о взыскании денежной компенсации в счет возмещения за жилое помещение.</w:t>
      </w:r>
    </w:p>
    <w:p w14:paraId="04A099B9"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обоснование исковых требований М. указала, что является собственником 1/10 доли в праве общей долевой собственности на жилое помещение – квартиру, расположенную в многоквартирном доме. Заключением межведомственной комиссии указанный жилой дом признан аварийным и непригодным для проживания, после чего снесен. Поскольку компенсация за жилое помещение ей не была предоставлена, просила взыскать с ответчика денежную компенсацию за 1/10 доли в праве собственности на указанную квартиру в размере 690 000 руб., а также возмещение расходов на регистрацию права собственности на другое жилое помещение в размере 2000 руб., на оплату услуг по подбору жилого помещения в размере 50 000 руб., расходы на проведение оценки в сумме 2000 руб.</w:t>
      </w:r>
    </w:p>
    <w:p w14:paraId="20360249" w14:textId="2309032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Разрешая спор и удовлетворяя заявленные исковые требования в полном объеме, суд первой инстанции указал на то, что жилой дом, в котором находилось принадлежащее истцу жилое помещение, признан аварийным и подлежащим сносу, в связи с чем истец имеет право на получение выкупной стоимости жилого помещения. То обстоятельство, что администрация муниципального образования снесла дом, то есть осуществила действия по реализации властных полномочий, не разрешив вопрос о выплате возмещения собственникам жилых помещений в установленном порядке, без соблюдения процедуры, установленной ст.32 ЖК РФ, не является основанием для освобождения ответчика от выплаты возмещения за жилое помещение.</w:t>
      </w:r>
    </w:p>
    <w:p w14:paraId="53026736" w14:textId="2BCAAB1D"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Отменяя решение суда первой инстанции и принимая по делу новое решение об отказе в удовлетворении иска, суд апелляционной инстанции исходил из того, что правовым последствием признания дома аварийным и подлежащим сносу для собственника жилого помещения является выплата ему выкупной цены изымаемого жилого помещения, порядок и процедура которой определены в ст.32 ЖК РФ, предусматривающей предъявление собственнику требования о сносе и реконструкции названного жилого дома.</w:t>
      </w:r>
    </w:p>
    <w:p w14:paraId="1E3E6167"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Поскольку требование о сносе или реконструкции признанного аварийным жилого дома собственникам расположенных в нем жилых помещений не направлялось, решение об изъятии земельного участка не принималось, судебная коллегия пришла к выводу о том, что у администрации муниципального образования отсутствовала законная возможность осуществить возмездное изъятие принадлежащего М. жилого помещения в аварийном жилом доме, а также ее доли в праве собственности на земельный участок, с учетом которой определена выкупная стоимость.</w:t>
      </w:r>
    </w:p>
    <w:p w14:paraId="5A2B7DA4" w14:textId="19133701"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lastRenderedPageBreak/>
        <w:t>При этом суд апелляционной инстанции указал на то, что М. не лишена возможности осуществить защиту своих прав собственника жилого помещения в признанном аварийном многоквартирном жилом доме путем понуждения администрации муниципального образования к осуществлению регламентированной ст.32 ЖК РФ процедуры изъятия земельного участка и принадлежащего ей жилого помещения.</w:t>
      </w:r>
    </w:p>
    <w:p w14:paraId="517FD285"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Судебная коллегия по гражданским делам Верховного Суда Российской Федерации отменила состоявшееся по делу апелляционное определение и направила дело на новое апелляционное рассмотрение по следующим основаниям.</w:t>
      </w:r>
    </w:p>
    <w:p w14:paraId="2FBC1F45" w14:textId="3EE1B7BC"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Согласно ч.8 ст.32 ЖК РФ предоставление собственнику взамен изымаемого жилого помещения другого жилого помещения допускается только по соглашению с собственником жилого помещения с зачетом стоимости предоставляемого жилого помещения в выкупную цену.</w:t>
      </w:r>
    </w:p>
    <w:p w14:paraId="5F086392"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Таким образом, жилое помещение может быть изъято у собственника либо путем выкупа, либо по соглашению с собственником ему может быть предоставлено другое жилое помещение с зачетом его стоимости в выкупную цену.</w:t>
      </w:r>
    </w:p>
    <w:p w14:paraId="5FE0B925" w14:textId="1DAF3C30"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силу ч.9 ст.32 ЖК РФ,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w:t>
      </w:r>
    </w:p>
    <w:p w14:paraId="4B2BA9DD" w14:textId="6DCA492A"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соответствии с п.22 постановления Пленума Верховного Суда Российской Федерации от 2 июля 2009 г. N 14 “О некоторых вопросах, возникших в судебной практике при применении Жилищного кодекса Российской Федерации” судам следует учитывать, что в силу ч.10 ст.32</w:t>
      </w:r>
      <w:r>
        <w:rPr>
          <w:rStyle w:val="a4"/>
          <w:rFonts w:ascii="Times New Roman" w:hAnsi="Times New Roman" w:cs="Times New Roman"/>
          <w:i w:val="0"/>
          <w:iCs w:val="0"/>
          <w:sz w:val="28"/>
          <w:szCs w:val="28"/>
        </w:rPr>
        <w:t xml:space="preserve"> </w:t>
      </w:r>
      <w:r w:rsidRPr="0028081F">
        <w:rPr>
          <w:rStyle w:val="a4"/>
          <w:rFonts w:ascii="Times New Roman" w:hAnsi="Times New Roman" w:cs="Times New Roman"/>
          <w:i w:val="0"/>
          <w:iCs w:val="0"/>
          <w:sz w:val="28"/>
          <w:szCs w:val="28"/>
        </w:rPr>
        <w:t>ЖК РФ признание в установленном порядке многоквартирного дома аварийным и подлежащим сносу или реконструкции является, по общему правилу, основанием для предъявления органом, принявшим такое решение, к собственникам жилых помещений в указанном доме требования о его сносе или реконструкции в разумный срок за счет их собственных средств.</w:t>
      </w:r>
    </w:p>
    <w:p w14:paraId="652072ED" w14:textId="0E2CEF16"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 xml:space="preserve">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 (чтобы на территории муниципального образования не было жилого дома, не позволяющего обеспечить безопасность жизни и </w:t>
      </w:r>
      <w:r w:rsidRPr="0028081F">
        <w:rPr>
          <w:rStyle w:val="a4"/>
          <w:rFonts w:ascii="Times New Roman" w:hAnsi="Times New Roman" w:cs="Times New Roman"/>
          <w:i w:val="0"/>
          <w:iCs w:val="0"/>
          <w:sz w:val="28"/>
          <w:szCs w:val="28"/>
        </w:rPr>
        <w:lastRenderedPageBreak/>
        <w:t>здоровья граждан) и соответственно об изъятии каждого жилого помещения в доме путем выкупа, за исключением жилых помещений, принадлежащих на праве собственности муниципальному образованию. К порядку выкупа жилых помещений в аварийном многоквартирном доме в этом случае согласно ч.10 ст.32 ЖК РФ применяются нормы частей 1-3, 5-9 ст.32 ЖК РФ. При этом положения ч.4 ст.32 ЖК РФ о предварительном уведомлении собственника об изъятии принадлежащего ему жилого помещения применению не подлежат.</w:t>
      </w:r>
    </w:p>
    <w:p w14:paraId="28E5E0AA" w14:textId="6CDCE952"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Как усматривается из материалов дела, ответчиком процедура изъятия жилого помещения для муниципальных нужд, установленная ст.32 ЖК РФ, нарушена, в связи со сносом жилого дома возможность соблюдения такой процедуры утрачена.</w:t>
      </w:r>
    </w:p>
    <w:p w14:paraId="15E8A92F"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На момент рассмотрения спора принадлежащее истцу на праве собственности жилое помещение в результате распорядительных действий ответчика было фактически изъято из ее владения без предоставления равноценного возмещения.</w:t>
      </w:r>
    </w:p>
    <w:p w14:paraId="19AF383C" w14:textId="0C390563"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Между тем в соответствии со ст.35 Конституции РФ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720D0633"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Несоблюдение органом местного самоуправления установленной законом процедуры, что имело место по данному делу, не должно умалять права истца и препятствовать их восстановлению.</w:t>
      </w:r>
    </w:p>
    <w:p w14:paraId="78B3B967"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Определение Судебной коллегии Верховного суда РФ № 1-КГ17-6</w:t>
      </w:r>
    </w:p>
    <w:p w14:paraId="21DC8D65"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2. </w:t>
      </w:r>
      <w:bookmarkStart w:id="0" w:name="sub_6"/>
      <w:bookmarkEnd w:id="0"/>
      <w:r w:rsidRPr="0028081F">
        <w:rPr>
          <w:rStyle w:val="a4"/>
          <w:rFonts w:ascii="Times New Roman" w:hAnsi="Times New Roman" w:cs="Times New Roman"/>
          <w:i w:val="0"/>
          <w:iCs w:val="0"/>
          <w:sz w:val="28"/>
          <w:szCs w:val="28"/>
        </w:rPr>
        <w:t>Цена находящегося в государственной собственности земельного участка, выкупаемого собственником расположенных на нем строений, определяется исходя из кадастровой стоимости этого участка на момент обращения с заявлением о выкупе в уполномоченный орган.</w:t>
      </w:r>
    </w:p>
    <w:p w14:paraId="2529219A"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К. обратился в суд с иском к департаменту имущественных и земельных отношений администрации области об урегулировании разногласий, возникших при заключении договора купли-продажи земельного участка.</w:t>
      </w:r>
    </w:p>
    <w:p w14:paraId="35FAD67B"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Судом по делу установлено, что К. является арендатором земельного участка, который поставлен на кадастровый учет.</w:t>
      </w:r>
    </w:p>
    <w:p w14:paraId="7302F5BC"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На арендуемом земельном участке располагаются принадлежащие К. на праве собственности объекты недвижимости – нежилые здания.</w:t>
      </w:r>
    </w:p>
    <w:p w14:paraId="539A3152" w14:textId="65D5000E"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Решением суда от 6 февраля 2015 г. кадастровая стоимость, арендуемого К. земельного участка установлена в размере 6 549 422 руб.</w:t>
      </w:r>
    </w:p>
    <w:p w14:paraId="5D62F2B9"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lastRenderedPageBreak/>
        <w:t>5 октября 2015 г. К. обратился в департамент с заявлением о предоставлении в собственность арендуемого им земельного участка.</w:t>
      </w:r>
    </w:p>
    <w:p w14:paraId="38069E8A"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24 декабря 2015 г. департамент направил К. проект договора купли-продажи земельного участка от 11 декабря 2015 г., проект дополнительного соглашения о расторжении договора аренды земельного участка от 18 ноября 2004 г., заявителю предложено произвести оплату согласно п. 2.2 договора в размере 2 026 822 руб. 29 коп. в течение 7 рабочих дней с даты получения договора и в 30-дневный срок со дня получения уведомления подписать проект договора купли-продажи, проект дополнительного соглашения и направить в департамент.</w:t>
      </w:r>
    </w:p>
    <w:p w14:paraId="70FCED38"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Не согласившись с расчетом цены выкупа земельного участка исходя из размера кадастровой стоимости </w:t>
      </w:r>
      <w:hyperlink r:id="rId4" w:tgtFrame="_blank" w:history="1">
        <w:r w:rsidRPr="0028081F">
          <w:rPr>
            <w:rStyle w:val="a4"/>
            <w:rFonts w:ascii="Times New Roman" w:hAnsi="Times New Roman" w:cs="Times New Roman"/>
            <w:i w:val="0"/>
            <w:iCs w:val="0"/>
            <w:sz w:val="28"/>
            <w:szCs w:val="28"/>
          </w:rPr>
          <w:t>16 214 578</w:t>
        </w:r>
      </w:hyperlink>
      <w:r w:rsidRPr="0028081F">
        <w:rPr>
          <w:rStyle w:val="a4"/>
          <w:rFonts w:ascii="Times New Roman" w:hAnsi="Times New Roman" w:cs="Times New Roman"/>
          <w:i w:val="0"/>
          <w:iCs w:val="0"/>
          <w:sz w:val="28"/>
          <w:szCs w:val="28"/>
        </w:rPr>
        <w:t> руб. 32 коп., 25 декабря 2015 г. К. обратился в департамент с заявлением с просьбой внести изменения в проект договора купли-продажи находящегося в государственной собственности земельного участка от 11 декабря 2015 г. в части расчета выкупной стоимости указанного участка, поскольку на момент обращения его с заявлением в государственном кадастре недвижимости содержались сведения о кадастровой стоимости земельного участка в размере 6 549 422 руб., информация о кадастровой стоимости земельного участка в размере </w:t>
      </w:r>
      <w:hyperlink r:id="rId5" w:tgtFrame="_blank" w:history="1">
        <w:r w:rsidRPr="0028081F">
          <w:rPr>
            <w:rStyle w:val="a4"/>
            <w:rFonts w:ascii="Times New Roman" w:hAnsi="Times New Roman" w:cs="Times New Roman"/>
            <w:i w:val="0"/>
            <w:iCs w:val="0"/>
            <w:sz w:val="28"/>
            <w:szCs w:val="28"/>
          </w:rPr>
          <w:t>16 214 578</w:t>
        </w:r>
      </w:hyperlink>
      <w:r w:rsidRPr="0028081F">
        <w:rPr>
          <w:rStyle w:val="a4"/>
          <w:rFonts w:ascii="Times New Roman" w:hAnsi="Times New Roman" w:cs="Times New Roman"/>
          <w:i w:val="0"/>
          <w:iCs w:val="0"/>
          <w:sz w:val="28"/>
          <w:szCs w:val="28"/>
        </w:rPr>
        <w:t> руб. 32 коп. являлась неактуальной и в ГКН не содержалась.</w:t>
      </w:r>
    </w:p>
    <w:p w14:paraId="32257C6C"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16 февраля 2016 г. департамент проинформировал о рассмотрении указанного обращения по вопросу перерасчета выкупной стоимости земельного участка и сообщил, что с 1 января 2016 г. кадастровая стоимость земельного участка установлена в размере </w:t>
      </w:r>
      <w:hyperlink r:id="rId6" w:tgtFrame="_blank" w:history="1">
        <w:r w:rsidRPr="0028081F">
          <w:rPr>
            <w:rStyle w:val="a4"/>
            <w:rFonts w:ascii="Times New Roman" w:hAnsi="Times New Roman" w:cs="Times New Roman"/>
            <w:i w:val="0"/>
            <w:iCs w:val="0"/>
            <w:sz w:val="28"/>
            <w:szCs w:val="28"/>
          </w:rPr>
          <w:t>12 581 583</w:t>
        </w:r>
      </w:hyperlink>
      <w:r w:rsidRPr="0028081F">
        <w:rPr>
          <w:rStyle w:val="a4"/>
          <w:rFonts w:ascii="Times New Roman" w:hAnsi="Times New Roman" w:cs="Times New Roman"/>
          <w:i w:val="0"/>
          <w:iCs w:val="0"/>
          <w:sz w:val="28"/>
          <w:szCs w:val="28"/>
        </w:rPr>
        <w:t> руб. 8 коп., в связи с чем направил истцу проект договора купли-продажи земельного участка от 4 февраля 2016 г., проект дополнительного соглашения о расторжении договора аренды земельного участка от 18 ноября 2004 г., К. предложено произвести оплату согласно п. 2.2 договора в размере 1 572 697 руб. 89 коп. в течение 7 рабочих дней с даты получения договора и в 30-дневный срок со дня получения уведомления подписать проект договора купли-продажи, проект дополнительного соглашения и направить в департамент.</w:t>
      </w:r>
    </w:p>
    <w:p w14:paraId="63231778"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Не согласившись с расчетом цены выкупа земельного участка и выкупной ценой, К. 25 февраля 2016 г. сопроводительным письмом направил в департамент проект договора купли-продажи находящегося в государственной собственности земельного участка от 4 февраля 2016 г. вместе с протоколом разногласий к проекту договора от 24 февраля 2016 г. и протоколом согласования разногласий от 24 февраля 2016 г.</w:t>
      </w:r>
    </w:p>
    <w:p w14:paraId="5448476F"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 xml:space="preserve">29 апреля 2016 г. К. получен ответ от 24 марта 2016 г. об отклонении протокола разногласий, так как на момент принятия решения о заключении договора </w:t>
      </w:r>
      <w:r w:rsidRPr="0028081F">
        <w:rPr>
          <w:rStyle w:val="a4"/>
          <w:rFonts w:ascii="Times New Roman" w:hAnsi="Times New Roman" w:cs="Times New Roman"/>
          <w:i w:val="0"/>
          <w:iCs w:val="0"/>
          <w:sz w:val="28"/>
          <w:szCs w:val="28"/>
        </w:rPr>
        <w:lastRenderedPageBreak/>
        <w:t>купли-продажи земельного участка кадастровая стоимость земельного участка составляла </w:t>
      </w:r>
      <w:hyperlink r:id="rId7" w:tgtFrame="_blank" w:history="1">
        <w:r w:rsidRPr="0028081F">
          <w:rPr>
            <w:rStyle w:val="a4"/>
            <w:rFonts w:ascii="Times New Roman" w:hAnsi="Times New Roman" w:cs="Times New Roman"/>
            <w:i w:val="0"/>
            <w:iCs w:val="0"/>
            <w:sz w:val="28"/>
            <w:szCs w:val="28"/>
          </w:rPr>
          <w:t>12 581 583</w:t>
        </w:r>
      </w:hyperlink>
      <w:r w:rsidRPr="0028081F">
        <w:rPr>
          <w:rStyle w:val="a4"/>
          <w:rFonts w:ascii="Times New Roman" w:hAnsi="Times New Roman" w:cs="Times New Roman"/>
          <w:i w:val="0"/>
          <w:iCs w:val="0"/>
          <w:sz w:val="28"/>
          <w:szCs w:val="28"/>
        </w:rPr>
        <w:t> руб. 8 коп.</w:t>
      </w:r>
    </w:p>
    <w:p w14:paraId="73E95C4A"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Решением суда, оставленным без изменения апелляционным определением, в удовлетворении исковых требований отказано.</w:t>
      </w:r>
    </w:p>
    <w:p w14:paraId="5A868375"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w:t>
      </w:r>
    </w:p>
    <w:p w14:paraId="756E1404" w14:textId="1B3B7146"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Согласно п.5 ст.39.20 З</w:t>
      </w:r>
      <w:r>
        <w:rPr>
          <w:rStyle w:val="a4"/>
          <w:rFonts w:ascii="Times New Roman" w:hAnsi="Times New Roman" w:cs="Times New Roman"/>
          <w:i w:val="0"/>
          <w:iCs w:val="0"/>
          <w:sz w:val="28"/>
          <w:szCs w:val="28"/>
        </w:rPr>
        <w:t>К</w:t>
      </w:r>
      <w:r w:rsidRPr="0028081F">
        <w:rPr>
          <w:rStyle w:val="a4"/>
          <w:rFonts w:ascii="Times New Roman" w:hAnsi="Times New Roman" w:cs="Times New Roman"/>
          <w:i w:val="0"/>
          <w:iCs w:val="0"/>
          <w:sz w:val="28"/>
          <w:szCs w:val="28"/>
        </w:rPr>
        <w:t xml:space="preserve"> РФ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1B02C89A" w14:textId="11BE8074"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Из положений п.5 ст.39.17 </w:t>
      </w:r>
      <w:r>
        <w:rPr>
          <w:rStyle w:val="a4"/>
          <w:rFonts w:ascii="Times New Roman" w:hAnsi="Times New Roman" w:cs="Times New Roman"/>
          <w:i w:val="0"/>
          <w:iCs w:val="0"/>
          <w:sz w:val="28"/>
          <w:szCs w:val="28"/>
        </w:rPr>
        <w:t>З</w:t>
      </w:r>
      <w:r w:rsidRPr="0028081F">
        <w:rPr>
          <w:rStyle w:val="a4"/>
          <w:rFonts w:ascii="Times New Roman" w:hAnsi="Times New Roman" w:cs="Times New Roman"/>
          <w:i w:val="0"/>
          <w:iCs w:val="0"/>
          <w:sz w:val="28"/>
          <w:szCs w:val="28"/>
        </w:rPr>
        <w:t>К</w:t>
      </w:r>
      <w:r>
        <w:rPr>
          <w:rStyle w:val="a4"/>
          <w:rFonts w:ascii="Times New Roman" w:hAnsi="Times New Roman" w:cs="Times New Roman"/>
          <w:i w:val="0"/>
          <w:iCs w:val="0"/>
          <w:sz w:val="28"/>
          <w:szCs w:val="28"/>
        </w:rPr>
        <w:t xml:space="preserve"> РФ</w:t>
      </w:r>
      <w:r w:rsidRPr="0028081F">
        <w:rPr>
          <w:rStyle w:val="a4"/>
          <w:rFonts w:ascii="Times New Roman" w:hAnsi="Times New Roman" w:cs="Times New Roman"/>
          <w:i w:val="0"/>
          <w:iCs w:val="0"/>
          <w:sz w:val="28"/>
          <w:szCs w:val="28"/>
        </w:rPr>
        <w:t xml:space="preserve"> следует, что в срок не более чем 30 дней со дня поступления заявления о предоставлении земельного участка в собственность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предусмотренных ст. 39 ЗК РФ, и при отсутствии таких оснований, если не требуется образование испрашиваемого земельного участка или уточнение его границ, осуществляет подготовку проекта договора купли-продажи в трех экземплярах и их подписание, а также направляет проекты указанных договоров для подписания заявителю либо принимает решение о предоставлении земельного участка в собственность бесплатно и направляет принятое решение заявителю.</w:t>
      </w:r>
    </w:p>
    <w:p w14:paraId="54D68C31"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Таким образом, обязанность заключить с собственником расположенных на земельном участке строений договор купли-продажи этого участка, по общему правилу, возникает у уполномоченного органа с момента обращения такого собственника с соответствующим заявлением.</w:t>
      </w:r>
    </w:p>
    <w:p w14:paraId="45CD223F" w14:textId="7FA73B8A"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Как предусмотрено п.4 ст.421 ГК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14:paraId="69A79AAF" w14:textId="2D568EC9"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Согласно п.2 ст.39.4 ЗК РФ при заключении без проведения торгов договора купли-продажи земельного участка, находящегося в собственности субъекта Российской Федерации или государственная собственность на который не разграничена, цена такого земельного участка определяется в порядке, установленном органом государственной власти субъекта Российской Федерации, если иное не установлено федеральными законами.</w:t>
      </w:r>
    </w:p>
    <w:p w14:paraId="5DE61692"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lastRenderedPageBreak/>
        <w:t>Цена названного земельного участка не может превышать его кадастровую стоимость или иной размер цены земельного участка, если он установлен федеральным законом (п. 3 ст. 39.4 Кодекса).</w:t>
      </w:r>
    </w:p>
    <w:p w14:paraId="5EFCC790"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Статьей 24.20 Федерального закона от 29 июля 1998 г. N 135-ФЗ “Об оценочной деятельности в Российской Федерации” предусмотрено, что, по общему правилу, 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w:t>
      </w:r>
    </w:p>
    <w:p w14:paraId="2280C810"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Следовательно, цена находящегося в государственной собственности земельного участка, выкупаемого собственником расположенных на таком участке строений, определяется исходя из кадастровой стоимости этого участка на момент обращения собственника расположенных на нем строений в уполномоченный орган с соответствующим заявлением.</w:t>
      </w:r>
    </w:p>
    <w:p w14:paraId="4187E51B"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Это не было учтено судами первой и апелляционной инстанций, указавшими, что выкупная цена земельного участка подлежит определению исходя из его кадастровой стоимости на момент принятия.</w:t>
      </w:r>
    </w:p>
    <w:p w14:paraId="156D07BD"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Определение Судебной коллегии Верховного суда РФ № 14-КГ17-12</w:t>
      </w:r>
    </w:p>
    <w:p w14:paraId="12CEA9B7"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3. Об исполнении требований законодательства о противодействии коррупции</w:t>
      </w:r>
    </w:p>
    <w:p w14:paraId="1D5192F8"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Определение Приморского краевого суда от 20 октября 2019 г. № </w:t>
      </w:r>
      <w:hyperlink r:id="rId8" w:tgtFrame="_blank" w:history="1">
        <w:r w:rsidRPr="0028081F">
          <w:rPr>
            <w:rStyle w:val="a4"/>
            <w:rFonts w:ascii="Times New Roman" w:hAnsi="Times New Roman" w:cs="Times New Roman"/>
            <w:i w:val="0"/>
            <w:iCs w:val="0"/>
            <w:sz w:val="28"/>
            <w:szCs w:val="28"/>
          </w:rPr>
          <w:t>33-9280/201</w:t>
        </w:r>
      </w:hyperlink>
      <w:r w:rsidRPr="0028081F">
        <w:rPr>
          <w:rStyle w:val="a4"/>
          <w:rFonts w:ascii="Times New Roman" w:hAnsi="Times New Roman" w:cs="Times New Roman"/>
          <w:i w:val="0"/>
          <w:iCs w:val="0"/>
          <w:sz w:val="28"/>
          <w:szCs w:val="28"/>
        </w:rPr>
        <w:t>9</w:t>
      </w:r>
    </w:p>
    <w:p w14:paraId="5D80047E"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Прокурор обратился в суд с иском к ОАО «Банк» о признании незаконным отказа в предоставлении запрашиваемой информации о счетах и вкладах денежных средств в отношении государственных служащих, их супругов и несовершеннолетних детей, о возложении обязанности представить запрашиваемую информацию. В обоснование иска указал, что прокурором в адрес ОАО «Банк» 21.05.2014 г. направлено требование о предоставлении сведений о наличии у перечисленных в требовании лиц счетов и вкладов денежных средств. Письмом ОАО «Банк» от 29.05.2014 г. в предоставлении данных документов и сведений отказано со ссылкой на запрет о разглашении информации, составляющей банковскую тайну. Прокурор полагал данный отказ незаконным.</w:t>
      </w:r>
    </w:p>
    <w:p w14:paraId="13392BCB"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Суд удовлетворил требования прокурора на основании следующего.</w:t>
      </w:r>
    </w:p>
    <w:p w14:paraId="1351D24E" w14:textId="068DF523"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соответствии со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 xml:space="preserve">857 Гражданского кодекса Российской </w:t>
      </w:r>
      <w:r w:rsidR="005F2109" w:rsidRPr="0028081F">
        <w:rPr>
          <w:rStyle w:val="a4"/>
          <w:rFonts w:ascii="Times New Roman" w:hAnsi="Times New Roman" w:cs="Times New Roman"/>
          <w:i w:val="0"/>
          <w:iCs w:val="0"/>
          <w:sz w:val="28"/>
          <w:szCs w:val="28"/>
        </w:rPr>
        <w:t>Федерации банк</w:t>
      </w:r>
      <w:r w:rsidRPr="0028081F">
        <w:rPr>
          <w:rStyle w:val="a4"/>
          <w:rFonts w:ascii="Times New Roman" w:hAnsi="Times New Roman" w:cs="Times New Roman"/>
          <w:i w:val="0"/>
          <w:iCs w:val="0"/>
          <w:sz w:val="28"/>
          <w:szCs w:val="28"/>
        </w:rPr>
        <w:t xml:space="preserve"> гарантирует тайну банковского счета и банковского вклада, операций по счету и сведений о клиенте.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14:paraId="44FDBFB8" w14:textId="7B6902DB"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lastRenderedPageBreak/>
        <w:t>Согласно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1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1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21 Федерального закона от 17.01.1992 № 2202-1 «О прокуратуре Российской Федерации» (далее – Федеральный закон № 2202-1) прокуратура Российской Федерации осуществляет надзор за исполнением законов органами управления и руководителями коммерческих организаций, а также за соответствием законам издаваемых ими правовых актов.</w:t>
      </w:r>
    </w:p>
    <w:p w14:paraId="55B0D753" w14:textId="20092BE1"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силу требований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22 Федерального закона № 2202-1 прокурор при осуществлении возложенных на него функций вправе требовать от руководителей и других должностных лиц коммерческих организаций предъявления необходимых документов, материалов, статистических и иных сведений.</w:t>
      </w:r>
    </w:p>
    <w:p w14:paraId="7C41710D" w14:textId="18CC95DA"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Пунктом 6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5 Федерального закона № 273-ФЗ определено, что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 установленные федеральными законами.</w:t>
      </w:r>
    </w:p>
    <w:p w14:paraId="759B011F"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Одним из способов противодействия коррупции является деятельность, направленная на ее предупреждение (выявление и последующее устранение причин коррупции), а также предупреждение, пресечение, раскрытие и расследование коррупционных правонарушений (подпункты «а», «б» пункта 2 статьи 1 Федерального закона № 273-ФЗ).</w:t>
      </w:r>
    </w:p>
    <w:p w14:paraId="5686F6C6"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Пунктом 8.2 приказа Генеральной прокуратуры Российской Федерации «Об организации прокурорского надзора за исполнением законов, соблюдением прав и свобод человека и гражданина» от 07.12.2007 г.  № 195 определено, что при осуществлении надзора за исполнением законов необходимо особое внимание уделять вопросам исполнения законодательства при реализации приоритетных национальных проектов, законности распоряжения государственным имуществом, выявления и пресечения фактов легализации преступных доходов, противодействию коррупции.</w:t>
      </w:r>
    </w:p>
    <w:p w14:paraId="12B5F528" w14:textId="61DB8623"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Согласно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2.1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4 Федерального закона № 2202-1 органы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законами, в том числе, осуществлять обработку персональных данных.</w:t>
      </w:r>
    </w:p>
    <w:p w14:paraId="698AB03C" w14:textId="3BAA7E1A"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В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 xml:space="preserve">12 Федерального закона от 03.12.2012 г. № 230-ФЗ «О контроле за соответствием расходов лиц, замещающих государственные должности, и иных лиц их доходам» указано, что контроль за расходами лица, замещающего </w:t>
      </w:r>
      <w:r w:rsidRPr="0028081F">
        <w:rPr>
          <w:rStyle w:val="a4"/>
          <w:rFonts w:ascii="Times New Roman" w:hAnsi="Times New Roman" w:cs="Times New Roman"/>
          <w:i w:val="0"/>
          <w:iCs w:val="0"/>
          <w:sz w:val="28"/>
          <w:szCs w:val="28"/>
        </w:rPr>
        <w:lastRenderedPageBreak/>
        <w:t>(занимающего) одну из должностей, указанных в п</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1 ч</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1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указанным Федеральным законом и нормативными правовыми актами Президента Российской Федерации.</w:t>
      </w:r>
    </w:p>
    <w:p w14:paraId="0897CA30" w14:textId="2D49A2C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Частью 6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20 Федерального закона от 27.07.2004 г. № 79-ФЗ «О государственной гражданской службе Российской Федерации» (далее – Федеральный закон № 79-ФЗ) предусмотрено, что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 273-ФЗ  и иными нормативными правовыми актами Российской Федерации.</w:t>
      </w:r>
    </w:p>
    <w:p w14:paraId="4234457D" w14:textId="39D8E83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Право Генерального прокурора и подчиненных ему прокуроров осуществлять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закреплено в ч</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3 ст</w:t>
      </w:r>
      <w:r w:rsidR="005F2109">
        <w:rPr>
          <w:rStyle w:val="a4"/>
          <w:rFonts w:ascii="Times New Roman" w:hAnsi="Times New Roman" w:cs="Times New Roman"/>
          <w:i w:val="0"/>
          <w:iCs w:val="0"/>
          <w:sz w:val="28"/>
          <w:szCs w:val="28"/>
        </w:rPr>
        <w:t>.</w:t>
      </w:r>
      <w:r w:rsidRPr="0028081F">
        <w:rPr>
          <w:rStyle w:val="a4"/>
          <w:rFonts w:ascii="Times New Roman" w:hAnsi="Times New Roman" w:cs="Times New Roman"/>
          <w:i w:val="0"/>
          <w:iCs w:val="0"/>
          <w:sz w:val="28"/>
          <w:szCs w:val="28"/>
        </w:rPr>
        <w:t>67 Федерального закона №79-ФЗ.</w:t>
      </w:r>
    </w:p>
    <w:p w14:paraId="6A5AB322"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Органы прокуратуры, реализуя полномочия по надзору за исполнением Федерального закона № 273-ФЗ, вправе с целью проведения соответствующих проверок затребовать информацию, необходимую для выявления и устранения нарушений закона, поскольку прокурор является специально уполномоченным лицом, на которого возложены функции надзора за исполнением законодательства о государственной и муниципальной службе и противодействия коррупции.</w:t>
      </w:r>
    </w:p>
    <w:p w14:paraId="349720AE" w14:textId="77777777" w:rsidR="0028081F" w:rsidRPr="0028081F" w:rsidRDefault="0028081F" w:rsidP="0028081F">
      <w:pPr>
        <w:jc w:val="both"/>
        <w:rPr>
          <w:rStyle w:val="a4"/>
          <w:rFonts w:ascii="Times New Roman" w:hAnsi="Times New Roman" w:cs="Times New Roman"/>
          <w:i w:val="0"/>
          <w:iCs w:val="0"/>
          <w:sz w:val="28"/>
          <w:szCs w:val="28"/>
        </w:rPr>
      </w:pPr>
      <w:r w:rsidRPr="0028081F">
        <w:rPr>
          <w:rStyle w:val="a4"/>
          <w:rFonts w:ascii="Times New Roman" w:hAnsi="Times New Roman" w:cs="Times New Roman"/>
          <w:i w:val="0"/>
          <w:iCs w:val="0"/>
          <w:sz w:val="28"/>
          <w:szCs w:val="28"/>
        </w:rPr>
        <w:t>С учетом вышеуказанных норм суд удовлетворил требование прокурора, обязал представить ОАО «Банк» запрашиваемую информацию.</w:t>
      </w:r>
    </w:p>
    <w:p w14:paraId="24CD7A52" w14:textId="77777777" w:rsidR="0028081F" w:rsidRPr="005F2109" w:rsidRDefault="0028081F" w:rsidP="0028081F">
      <w:pPr>
        <w:pStyle w:val="s11"/>
        <w:spacing w:before="0" w:beforeAutospacing="0" w:after="0" w:afterAutospacing="0"/>
        <w:jc w:val="both"/>
        <w:textAlignment w:val="baseline"/>
        <w:rPr>
          <w:rStyle w:val="a4"/>
        </w:rPr>
      </w:pPr>
      <w:r w:rsidRPr="005F2109">
        <w:rPr>
          <w:rStyle w:val="a4"/>
        </w:rPr>
        <w:t>Определение Приморского краевого суда от 6 ноября 2019 г. № </w:t>
      </w:r>
      <w:hyperlink r:id="rId9" w:tgtFrame="_blank" w:history="1">
        <w:r w:rsidRPr="005F2109">
          <w:rPr>
            <w:rStyle w:val="a4"/>
          </w:rPr>
          <w:t>33-9754/201</w:t>
        </w:r>
      </w:hyperlink>
      <w:r w:rsidRPr="005F2109">
        <w:rPr>
          <w:rStyle w:val="a4"/>
        </w:rPr>
        <w:t>9</w:t>
      </w:r>
    </w:p>
    <w:p w14:paraId="3873AA8E" w14:textId="77777777" w:rsidR="0077621B" w:rsidRDefault="0077621B" w:rsidP="0028081F">
      <w:pPr>
        <w:jc w:val="both"/>
      </w:pPr>
    </w:p>
    <w:sectPr w:rsidR="00776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1F"/>
    <w:rsid w:val="0028081F"/>
    <w:rsid w:val="005F2109"/>
    <w:rsid w:val="0077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9802"/>
  <w15:chartTrackingRefBased/>
  <w15:docId w15:val="{81EA28BE-F46C-4AB3-8FFC-275C749B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5">
    <w:name w:val="s5"/>
    <w:basedOn w:val="a"/>
    <w:rsid w:val="0028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28081F"/>
  </w:style>
  <w:style w:type="paragraph" w:customStyle="1" w:styleId="s8">
    <w:name w:val="s8"/>
    <w:basedOn w:val="a"/>
    <w:rsid w:val="0028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081F"/>
    <w:rPr>
      <w:color w:val="0000FF"/>
      <w:u w:val="single"/>
    </w:rPr>
  </w:style>
  <w:style w:type="paragraph" w:customStyle="1" w:styleId="s11">
    <w:name w:val="s11"/>
    <w:basedOn w:val="a"/>
    <w:rsid w:val="0028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0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9280/201" TargetMode="External"/><Relationship Id="rId3" Type="http://schemas.openxmlformats.org/officeDocument/2006/relationships/webSettings" Target="webSettings.xml"/><Relationship Id="rId7" Type="http://schemas.openxmlformats.org/officeDocument/2006/relationships/hyperlink" Target="tel:12%20581%205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2%20581%20583" TargetMode="External"/><Relationship Id="rId11" Type="http://schemas.openxmlformats.org/officeDocument/2006/relationships/theme" Target="theme/theme1.xml"/><Relationship Id="rId5" Type="http://schemas.openxmlformats.org/officeDocument/2006/relationships/hyperlink" Target="tel:16%20214%20578" TargetMode="External"/><Relationship Id="rId10" Type="http://schemas.openxmlformats.org/officeDocument/2006/relationships/fontTable" Target="fontTable.xml"/><Relationship Id="rId4" Type="http://schemas.openxmlformats.org/officeDocument/2006/relationships/hyperlink" Target="tel:16%20214%20578" TargetMode="External"/><Relationship Id="rId9" Type="http://schemas.openxmlformats.org/officeDocument/2006/relationships/hyperlink" Target="tel:33-9754/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3246</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Василий В. Меховский</cp:lastModifiedBy>
  <cp:revision>1</cp:revision>
  <dcterms:created xsi:type="dcterms:W3CDTF">2020-11-11T02:45:00Z</dcterms:created>
  <dcterms:modified xsi:type="dcterms:W3CDTF">2020-11-11T03:59:00Z</dcterms:modified>
</cp:coreProperties>
</file>