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right="6" w:firstLine="0"/>
        <w:jc w:val="center"/>
        <w:rPr>
          <w:rFonts w:ascii="Tinos" w:hAnsi="Tinos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6525" cy="40068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70"/>
                              <w:spacing w:before="0" w:after="2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o:spt="1" style="position:absolute;left:0pt;margin-left:382.7pt;margin-top:-13.5pt;height:31.55pt;width:110.75pt;z-index:251659264;mso-width-relative:page;mso-height-relative:page;" fillcolor="#FFFFFF" filled="t" stroked="f" coordsize="21600,21600" o:allowincell="f" o:gfxdata="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XNEu2gAAAAoBAAAPAAAAAAAAAAEAIAAA&#10;ACIAAABkcnMvZG93bnJldi54bWxQSwECFAAUAAAACACHTuJAYmrhUNEBAACNAwAADgAAAAAAAAAB&#10;ACAAAAApAQAAZHJzL2Uyb0RvYy54bWxQSwUGAAAAAAYABgBZAQAAbA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70"/>
                        <w:spacing w:before="0"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8"/>
        <w:spacing w:before="57" w:after="57"/>
        <w:ind w:right="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  <w:r>
        <w:rPr>
          <w:b/>
          <w:sz w:val="26"/>
          <w:szCs w:val="26"/>
        </w:rPr>
        <w:br w:type="textWrapping"/>
      </w:r>
    </w:p>
    <w:p>
      <w:pPr>
        <w:pStyle w:val="2"/>
        <w:ind w:right="6" w:firstLine="0"/>
        <w:jc w:val="center"/>
        <w:rPr>
          <w:szCs w:val="26"/>
        </w:rPr>
      </w:pPr>
      <w:r>
        <w:rPr>
          <w:szCs w:val="26"/>
        </w:rPr>
        <w:t>Р А С П О Р Я Ж Е Н И Е</w:t>
      </w:r>
    </w:p>
    <w:p>
      <w:pPr>
        <w:spacing w:line="240" w:lineRule="auto"/>
        <w:ind w:right="6"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line="360" w:lineRule="auto"/>
        <w:ind w:right="6" w:firstLine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09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с. Анучино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76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-р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  </w:t>
      </w:r>
    </w:p>
    <w:p>
      <w:pPr>
        <w:shd w:val="clear" w:color="auto" w:fill="FFFFFF"/>
        <w:spacing w:before="114" w:after="314" w:line="240" w:lineRule="auto"/>
        <w:ind w:right="6"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_DdeLink__151_407754318"/>
      <w:bookmarkStart w:id="1" w:name="__DdeLink__135_3945969591"/>
      <w:r>
        <w:rPr>
          <w:rFonts w:hint="default"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hint="default"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hint="default"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ru-RU" w:bidi="ar-SA"/>
        </w:rPr>
        <w:t>аренды</w:t>
      </w:r>
      <w:r>
        <w:rPr>
          <w:rFonts w:hint="default"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участка и утверждении состава аукционной комиссии</w:t>
      </w:r>
      <w:bookmarkEnd w:id="0"/>
      <w:bookmarkEnd w:id="1"/>
      <w:bookmarkStart w:id="2" w:name="_Hlk93909422"/>
      <w:bookmarkEnd w:id="2"/>
    </w:p>
    <w:p>
      <w:pPr>
        <w:shd w:val="clear" w:color="auto" w:fill="FFFFFF"/>
        <w:spacing w:line="360" w:lineRule="auto"/>
        <w:ind w:right="6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10"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39.12 Земельного кодекса Российской Федерации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на основании Устава Анучинского муниципального округа Приморского края</w:t>
      </w:r>
    </w:p>
    <w:p>
      <w:pPr>
        <w:shd w:val="clear" w:color="auto" w:fill="FFFFFF"/>
        <w:spacing w:line="360" w:lineRule="auto"/>
        <w:ind w:right="6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</w:rPr>
        <w:t>1. Провести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аукцион на право заключения договора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hint="default" w:ascii="Times New Roman" w:hAnsi="Times New Roman" w:cs="Times New Roman"/>
          <w:sz w:val="28"/>
          <w:szCs w:val="28"/>
        </w:rPr>
        <w:t xml:space="preserve"> земельного участка, открытого по составу участников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020501:1463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145000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находится примерно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5630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Чернышевка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Советская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2693(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тысячи шестьсот девяносто три) рубля 71 копейка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b w:val="0"/>
          <w:bCs w:val="0"/>
          <w:color w:val="FF0000"/>
          <w:kern w:val="0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020501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:1461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181484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й 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1090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Приморский край,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Анучинский муниципальный округ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Полтавская,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3956(три тысячи девятьсот пятьдесят шесть) рублей 35 копеек. 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_Hlk645344545"/>
      <w:bookmarkEnd w:id="3"/>
      <w:bookmarkStart w:id="4" w:name="_Hlk552141385"/>
      <w:bookmarkEnd w:id="4"/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000000:1114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88094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нежилое здание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3400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Нововарваровка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животноводство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2272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тысячи двести семьдесят два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ля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82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ейки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02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0701:459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96410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490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Ауровка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Ленинская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829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восемьсот двадцать девять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12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020701:462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41402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710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Ауровка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Ленинская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животноводство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356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триста пятьдесят шесть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116580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/>
        </w:rPr>
        <w:t>1450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Ауровка,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Ленинская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1002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одна тысяча два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58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020701:437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63018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расположен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6,1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 от ориентира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Ауровка,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Комарова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Растениеводство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541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пятьсот сорок один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000000:1193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236476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здание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2550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Анучино,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Набережная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2033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две тысячи тридцать три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69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030301:695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138457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3250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Октябрьская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8639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восемь тысяч шестьсот тридцать девять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71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000000:1194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4600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Октябрьская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6624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шесть тысяч шестьсот двадцать четыре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000000:1203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181890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 примерно в 3400 м от ориентира по направлению на северо-восток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Октябрьская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11604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одиннадцать тысяч шестьсот четыре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58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000000:1207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274915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в 1825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Луговая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8224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восемь тысяч двести двадцать четыре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82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030301:694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37900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3400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Октябрьская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939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девятьсот тридцать девять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030301:697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95300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 Примерно в 1000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Староварваровка,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Октябрьская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5108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пять тысяч сто восемь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000000:1205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156714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120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Виноградовка,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Советская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5390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пять тысяч триста девяносто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96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116696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770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Виноградовка,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Арсеньевская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1а.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2543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две тысячи пятьсот сорок три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97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17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020201:334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126653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600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Нововарваровка,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Полевая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6280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шесть тысяч двести восемьдесят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46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020101:7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65451.65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нежилое здание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6780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Нововарваровка,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Ленинская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Для животноводства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2320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две тысячи триста двадцать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лей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23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9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020201:335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в 800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Нововарваровка,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Полевая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6080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шесть тысяч восемьдесят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010501:368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138442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жилое здание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2035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Новотроицкое,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Луговая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5.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2298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две тысячи двести девяносто восемь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13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010501:369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62064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>расположенного за пределами участка. Ориентир —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здание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2005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Новотроицкое, ул.Луговая,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1030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одна тысяча тридцать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26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020501:1427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80624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 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1341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Шекляево,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Арсеньева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46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ж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ивотноводство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1338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одна тысяча триста тридцать восемь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35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020501:1431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97289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 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3100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Шекляево,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Ключевая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животноводство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1614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одна тысяча шестьсот четырнадцать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99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020501:1466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90000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770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Шекляево,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Ключевая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1962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одна тысяча девятьсот шестьдесят два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103000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1950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от ориентира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Гродеково,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Центральная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5а.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885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восемьсот восемьдесят пять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80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20351.3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центр села Новогордеевка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1045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от ориентира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для сенокошения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443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четыреста сорок три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65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27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000000:1221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223100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3400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от ориентира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-восток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, с. Смольное, ул. Центральная, д.24.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10708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десять тысяч семьсот восемь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80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28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000000:1220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191800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Местоположение установлено относительно ориентира,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находится примерно в 5100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м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от ориентира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по направлению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, с. Ауровка, ул. Димитрова, д.14.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Вид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разрешённого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Сельскохозяйственное использование.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 Начальная цена предмета аукциона: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9973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девять тысяч девятьсот семьдесят три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60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еек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Назначить организатором аукциона - администрацию Анучинского муниципального округа, в лице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line="360" w:lineRule="auto"/>
        <w:ind w:right="6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По итогам аукциона отделу имущественных и земельных отношений подготовить проект договора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hint="default" w:ascii="Times New Roman" w:hAnsi="Times New Roman" w:cs="Times New Roman"/>
          <w:sz w:val="28"/>
          <w:szCs w:val="28"/>
        </w:rPr>
        <w:t xml:space="preserve"> земельного участка.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Установить время проведения аукциона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г. в 14 час. 00 мин. по адресу: Приморский край, Анучинский район, с. Анучино, ул. Лазо, д.6, 3 этаж, актовый зал, здание Администрации округа.</w:t>
      </w:r>
    </w:p>
    <w:p>
      <w:pPr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5.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>
        <w:rPr>
          <w:rFonts w:hint="default" w:ascii="Times New Roman" w:hAnsi="Times New Roman" w:cs="Times New Roman"/>
          <w:sz w:val="28"/>
          <w:szCs w:val="28"/>
        </w:rPr>
        <w:t>проведению аукциона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Суворенков Андрей Александрович — начальник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Ткаченко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Зоя Владимировна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bookmarkStart w:id="5" w:name="__DdeLink__165_884877349"/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5"/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Росейчук Елена Витальевна - начальник отдела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и земельных отношений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shd w:val="clear" w:color="auto" w:fill="FFFFFF"/>
        <w:spacing w:before="0"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Борисенко Ольга Ивановна</w:t>
      </w: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hint="default"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Ким Наталья Васильевна – 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highlight w:val="white"/>
          <w:lang w:val="ru-RU" w:eastAsia="ru-RU" w:bidi="ar-SA"/>
        </w:rPr>
        <w:t xml:space="preserve">главный специалист 1-го разряда отдела 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архитектуры и градостроительства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края.</w:t>
      </w:r>
    </w:p>
    <w:p>
      <w:pPr>
        <w:numPr>
          <w:ilvl w:val="0"/>
          <w:numId w:val="1"/>
        </w:num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Возложить на комиссию все полномочия, предусмотренные законодательством.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Глава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Анучинского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муниципального округа                            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                          </w:t>
      </w:r>
      <w:bookmarkStart w:id="6" w:name="_GoBack"/>
      <w:bookmarkEnd w:id="6"/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С.А. Понуровский</w:t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>
      <w:footerReference r:id="rId5" w:type="default"/>
      <w:pgSz w:w="11906" w:h="16838"/>
      <w:pgMar w:top="861" w:right="843" w:bottom="983" w:left="1898" w:header="0" w:footer="69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Tinos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0F05E"/>
    <w:multiLevelType w:val="singleLevel"/>
    <w:tmpl w:val="DE30F05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D4D6D68"/>
    <w:rsid w:val="0DED393D"/>
    <w:rsid w:val="2145354F"/>
    <w:rsid w:val="341705D2"/>
    <w:rsid w:val="350F1635"/>
    <w:rsid w:val="35771F6D"/>
    <w:rsid w:val="47624F92"/>
    <w:rsid w:val="47FA7C68"/>
    <w:rsid w:val="4EC869DE"/>
    <w:rsid w:val="4F07342D"/>
    <w:rsid w:val="60A34EF2"/>
    <w:rsid w:val="68BE121A"/>
    <w:rsid w:val="6AB96658"/>
    <w:rsid w:val="6F882F14"/>
    <w:rsid w:val="76495CD4"/>
    <w:rsid w:val="7B5C4B04"/>
    <w:rsid w:val="7F6E4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7"/>
    <w:qFormat/>
    <w:uiPriority w:val="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9">
    <w:name w:val="Plain Text"/>
    <w:basedOn w:val="1"/>
    <w:qFormat/>
    <w:uiPriority w:val="0"/>
    <w:pPr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header"/>
    <w:basedOn w:val="1"/>
    <w:link w:val="63"/>
    <w:qFormat/>
    <w:uiPriority w:val="0"/>
    <w:pPr>
      <w:spacing w:before="0" w:after="0" w:line="240" w:lineRule="auto"/>
    </w:pPr>
  </w:style>
  <w:style w:type="paragraph" w:styleId="12">
    <w:name w:val="Body Text"/>
    <w:basedOn w:val="1"/>
    <w:link w:val="18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14">
    <w:name w:val="Body Text Indent"/>
    <w:basedOn w:val="1"/>
    <w:link w:val="61"/>
    <w:qFormat/>
    <w:uiPriority w:val="0"/>
    <w:pPr>
      <w:spacing w:before="0" w:after="120"/>
      <w:ind w:left="283" w:firstLine="0"/>
    </w:p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6">
    <w:name w:val="footer"/>
    <w:basedOn w:val="1"/>
    <w:link w:val="62"/>
    <w:qFormat/>
    <w:uiPriority w:val="0"/>
    <w:pPr>
      <w:spacing w:before="0" w:after="0" w:line="240" w:lineRule="auto"/>
    </w:pPr>
  </w:style>
  <w:style w:type="paragraph" w:styleId="17">
    <w:name w:val="List"/>
    <w:basedOn w:val="12"/>
    <w:qFormat/>
    <w:uiPriority w:val="0"/>
    <w:rPr>
      <w:rFonts w:cs="Droid Sans Devanagari"/>
    </w:rPr>
  </w:style>
  <w:style w:type="character" w:customStyle="1" w:styleId="18">
    <w:name w:val="Заголовок 1 Знак"/>
    <w:basedOn w:val="5"/>
    <w:link w:val="12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19">
    <w:name w:val="Основной текст Знак"/>
    <w:basedOn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Заголовок 2 Знак1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1">
    <w:name w:val="Текст выноски Знак"/>
    <w:basedOn w:val="5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Маркеры списка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23">
    <w:name w:val="Символ нумерации"/>
    <w:qFormat/>
    <w:uiPriority w:val="0"/>
  </w:style>
  <w:style w:type="character" w:customStyle="1" w:styleId="24">
    <w:name w:val="Основной текст с отступом Знак"/>
    <w:qFormat/>
    <w:uiPriority w:val="0"/>
    <w:rPr>
      <w:sz w:val="22"/>
      <w:szCs w:val="22"/>
    </w:rPr>
  </w:style>
  <w:style w:type="character" w:customStyle="1" w:styleId="25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26">
    <w:name w:val="Текст Знак"/>
    <w:qFormat/>
    <w:uiPriority w:val="0"/>
    <w:rPr>
      <w:rFonts w:ascii="Courier New" w:hAnsi="Courier New" w:cs="Courier New"/>
    </w:rPr>
  </w:style>
  <w:style w:type="character" w:customStyle="1" w:styleId="27">
    <w:name w:val="Нижний колонтитул Знак"/>
    <w:basedOn w:val="5"/>
    <w:qFormat/>
    <w:uiPriority w:val="0"/>
  </w:style>
  <w:style w:type="character" w:customStyle="1" w:styleId="28">
    <w:name w:val="Верхний колонтитул Знак"/>
    <w:basedOn w:val="5"/>
    <w:qFormat/>
    <w:uiPriority w:val="0"/>
  </w:style>
  <w:style w:type="character" w:customStyle="1" w:styleId="29">
    <w:name w:val="WW8Num2z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0">
    <w:name w:val="WW8Num2z8"/>
    <w:qFormat/>
    <w:uiPriority w:val="0"/>
  </w:style>
  <w:style w:type="character" w:customStyle="1" w:styleId="31">
    <w:name w:val="WW8Num2z7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3"/>
    <w:qFormat/>
    <w:uiPriority w:val="0"/>
  </w:style>
  <w:style w:type="character" w:customStyle="1" w:styleId="36">
    <w:name w:val="WW8Num2z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7">
    <w:name w:val="WW8Num2z0"/>
    <w:qFormat/>
    <w:uiPriority w:val="0"/>
  </w:style>
  <w:style w:type="character" w:customStyle="1" w:styleId="38">
    <w:name w:val="WW8Num1z8"/>
    <w:qFormat/>
    <w:uiPriority w:val="0"/>
  </w:style>
  <w:style w:type="character" w:customStyle="1" w:styleId="39">
    <w:name w:val="WW8Num1z7"/>
    <w:qFormat/>
    <w:uiPriority w:val="0"/>
  </w:style>
  <w:style w:type="character" w:customStyle="1" w:styleId="40">
    <w:name w:val="WW8Num1z6"/>
    <w:qFormat/>
    <w:uiPriority w:val="0"/>
  </w:style>
  <w:style w:type="character" w:customStyle="1" w:styleId="41">
    <w:name w:val="WW8Num1z5"/>
    <w:qFormat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3"/>
    <w:qFormat/>
    <w:uiPriority w:val="0"/>
  </w:style>
  <w:style w:type="character" w:customStyle="1" w:styleId="44">
    <w:name w:val="WW8Num1z2"/>
    <w:qFormat/>
    <w:uiPriority w:val="0"/>
  </w:style>
  <w:style w:type="character" w:customStyle="1" w:styleId="45">
    <w:name w:val="WW8Num1z1"/>
    <w:qFormat/>
    <w:uiPriority w:val="0"/>
  </w:style>
  <w:style w:type="character" w:customStyle="1" w:styleId="46">
    <w:name w:val="WW8Num1z0"/>
    <w:qFormat/>
    <w:uiPriority w:val="0"/>
  </w:style>
  <w:style w:type="character" w:customStyle="1" w:styleId="47">
    <w:name w:val="Character_20_style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WW8Num3z7"/>
    <w:qFormat/>
    <w:uiPriority w:val="0"/>
  </w:style>
  <w:style w:type="character" w:customStyle="1" w:styleId="50">
    <w:name w:val="WW8Num3z6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4"/>
    <w:qFormat/>
    <w:uiPriority w:val="0"/>
  </w:style>
  <w:style w:type="character" w:customStyle="1" w:styleId="53">
    <w:name w:val="WW8Num3z3"/>
    <w:qFormat/>
    <w:uiPriority w:val="0"/>
  </w:style>
  <w:style w:type="character" w:customStyle="1" w:styleId="54">
    <w:name w:val="WW8Num3z2"/>
    <w:qFormat/>
    <w:uiPriority w:val="0"/>
  </w:style>
  <w:style w:type="character" w:customStyle="1" w:styleId="55">
    <w:name w:val="WW8Num3z1"/>
    <w:qFormat/>
    <w:uiPriority w:val="0"/>
  </w:style>
  <w:style w:type="character" w:customStyle="1" w:styleId="56">
    <w:name w:val="WW8Num3z0"/>
    <w:qFormat/>
    <w:uiPriority w:val="0"/>
  </w:style>
  <w:style w:type="character" w:customStyle="1" w:styleId="57">
    <w:name w:val="Заголовок 3 Знак"/>
    <w:basedOn w:val="5"/>
    <w:link w:val="4"/>
    <w:qFormat/>
    <w:uiPriority w:val="0"/>
    <w:rPr>
      <w:rFonts w:ascii="Cambria" w:hAnsi="Cambria" w:cs="Cambria" w:eastAsiaTheme="minorEastAsia"/>
      <w:b/>
      <w:bCs/>
      <w:kern w:val="0"/>
      <w:sz w:val="26"/>
      <w:szCs w:val="26"/>
      <w:lang w:eastAsia="ru-RU" w:bidi="ar-SA"/>
    </w:rPr>
  </w:style>
  <w:style w:type="character" w:customStyle="1" w:styleId="58">
    <w:name w:val="Основной шрифт абзаца1"/>
    <w:link w:val="7"/>
    <w:qFormat/>
    <w:uiPriority w:val="0"/>
  </w:style>
  <w:style w:type="character" w:customStyle="1" w:styleId="59">
    <w:name w:val="Основной шрифт абзаца2"/>
    <w:qFormat/>
    <w:uiPriority w:val="0"/>
  </w:style>
  <w:style w:type="character" w:customStyle="1" w:styleId="60">
    <w:name w:val="Основной текст 2 Знак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61">
    <w:name w:val="Основной текст Знак1"/>
    <w:basedOn w:val="5"/>
    <w:link w:val="14"/>
    <w:qFormat/>
    <w:uiPriority w:val="0"/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62">
    <w:name w:val="Верхний колонтитул Знак1"/>
    <w:basedOn w:val="5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3">
    <w:name w:val="Нижний колонтитул Знак1"/>
    <w:basedOn w:val="5"/>
    <w:link w:val="11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4">
    <w:name w:val="Основной текст с отступом Знак1"/>
    <w:basedOn w:val="5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5">
    <w:name w:val="Текст выноски Знак1"/>
    <w:basedOn w:val="5"/>
    <w:semiHidden/>
    <w:qFormat/>
    <w:uiPriority w:val="99"/>
    <w:rPr>
      <w:rFonts w:ascii="Tahoma" w:hAnsi="Tahoma" w:cs="Tahoma" w:eastAsiaTheme="minorEastAsia"/>
      <w:kern w:val="0"/>
      <w:sz w:val="16"/>
      <w:szCs w:val="16"/>
      <w:lang w:eastAsia="ru-RU" w:bidi="ar-SA"/>
    </w:rPr>
  </w:style>
  <w:style w:type="character" w:customStyle="1" w:styleId="66">
    <w:name w:val="Основной шрифт абзаца3"/>
    <w:qFormat/>
    <w:uiPriority w:val="0"/>
  </w:style>
  <w:style w:type="paragraph" w:customStyle="1" w:styleId="67">
    <w:name w:val="Заголовок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8">
    <w:name w:val="Указатель11"/>
    <w:basedOn w:val="1"/>
    <w:qFormat/>
    <w:uiPriority w:val="0"/>
    <w:pPr>
      <w:suppressLineNumbers/>
    </w:pPr>
    <w:rPr>
      <w:rFonts w:cs="Arial"/>
    </w:rPr>
  </w:style>
  <w:style w:type="paragraph" w:styleId="69">
    <w:name w:val="List Paragraph"/>
    <w:basedOn w:val="1"/>
    <w:qFormat/>
    <w:uiPriority w:val="0"/>
    <w:pPr>
      <w:spacing w:before="0" w:after="0" w:line="240" w:lineRule="auto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70">
    <w:name w:val="Содержимое врезки"/>
    <w:basedOn w:val="1"/>
    <w:qFormat/>
    <w:uiPriority w:val="0"/>
  </w:style>
  <w:style w:type="paragraph" w:customStyle="1" w:styleId="71">
    <w:name w:val="Содержимое таблицы"/>
    <w:basedOn w:val="1"/>
    <w:qFormat/>
    <w:uiPriority w:val="0"/>
    <w:pPr>
      <w:suppressLineNumbers/>
    </w:pPr>
  </w:style>
  <w:style w:type="paragraph" w:customStyle="1" w:styleId="72">
    <w:name w:val="Заголовок таблицы"/>
    <w:basedOn w:val="71"/>
    <w:qFormat/>
    <w:uiPriority w:val="0"/>
    <w:pPr>
      <w:jc w:val="center"/>
    </w:pPr>
    <w:rPr>
      <w:b/>
      <w:bCs/>
    </w:rPr>
  </w:style>
  <w:style w:type="paragraph" w:customStyle="1" w:styleId="73">
    <w:name w:val="ConsPlus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customStyle="1" w:styleId="74">
    <w:name w:val="ConsNormal"/>
    <w:qFormat/>
    <w:uiPriority w:val="0"/>
    <w:pPr>
      <w:widowControl w:val="0"/>
      <w:suppressAutoHyphens/>
      <w:overflowPunct w:val="0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customStyle="1" w:styleId="75">
    <w:name w:val="Обычный (веб)1"/>
    <w:basedOn w:val="1"/>
    <w:qFormat/>
    <w:uiPriority w:val="0"/>
    <w:pPr>
      <w:spacing w:before="0"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Верхний и нижний колонтитулы"/>
    <w:basedOn w:val="1"/>
    <w:qFormat/>
    <w:uiPriority w:val="0"/>
  </w:style>
  <w:style w:type="paragraph" w:customStyle="1" w:styleId="77">
    <w:name w:val="Заголовок1"/>
    <w:basedOn w:val="1"/>
    <w:next w:val="12"/>
    <w:qFormat/>
    <w:uiPriority w:val="0"/>
    <w:pPr>
      <w:keepNext/>
      <w:overflowPunct/>
      <w:spacing w:before="240" w:after="120"/>
    </w:pPr>
    <w:rPr>
      <w:rFonts w:ascii="Liberation Sans" w:hAnsi="Liberation Sans" w:eastAsia="Droid Sans Fallback" w:cs="Droid Sans Devanagari"/>
      <w:kern w:val="2"/>
      <w:sz w:val="28"/>
      <w:szCs w:val="28"/>
      <w:lang w:eastAsia="zh-CN"/>
    </w:rPr>
  </w:style>
  <w:style w:type="paragraph" w:customStyle="1" w:styleId="78">
    <w:name w:val="Указатель1"/>
    <w:basedOn w:val="1"/>
    <w:qFormat/>
    <w:uiPriority w:val="0"/>
    <w:pPr>
      <w:suppressLineNumbers/>
      <w:overflowPunct/>
    </w:pPr>
    <w:rPr>
      <w:rFonts w:ascii="Calibri" w:hAnsi="Calibri" w:eastAsia="Times New Roman" w:cs="Droid Sans Devanagari"/>
      <w:kern w:val="2"/>
      <w:lang w:eastAsia="zh-CN"/>
    </w:rPr>
  </w:style>
  <w:style w:type="paragraph" w:customStyle="1" w:styleId="79">
    <w:name w:val="Текст1"/>
    <w:basedOn w:val="1"/>
    <w:qFormat/>
    <w:uiPriority w:val="0"/>
    <w:pPr>
      <w:overflowPunct/>
      <w:spacing w:before="0" w:after="0" w:line="240" w:lineRule="auto"/>
    </w:pPr>
    <w:rPr>
      <w:rFonts w:ascii="Courier New" w:hAnsi="Courier New" w:eastAsia="Times New Roman" w:cs="Courier New"/>
      <w:kern w:val="2"/>
      <w:sz w:val="20"/>
      <w:szCs w:val="20"/>
      <w:lang w:val="zh-CN" w:eastAsia="zh-CN"/>
    </w:rPr>
  </w:style>
  <w:style w:type="paragraph" w:customStyle="1" w:styleId="80">
    <w:name w:val="Текст выноски1"/>
    <w:basedOn w:val="1"/>
    <w:qFormat/>
    <w:uiPriority w:val="0"/>
    <w:pPr>
      <w:overflowPunct/>
      <w:spacing w:before="0" w:after="0" w:line="240" w:lineRule="auto"/>
    </w:pPr>
    <w:rPr>
      <w:rFonts w:ascii="Tahoma" w:hAnsi="Tahoma" w:eastAsia="Times New Roman" w:cs="Tahoma"/>
      <w:kern w:val="2"/>
      <w:sz w:val="16"/>
      <w:szCs w:val="16"/>
      <w:lang w:eastAsia="zh-CN"/>
    </w:rPr>
  </w:style>
  <w:style w:type="paragraph" w:customStyle="1" w:styleId="81">
    <w:name w:val="Абзац списка1"/>
    <w:basedOn w:val="1"/>
    <w:qFormat/>
    <w:uiPriority w:val="0"/>
    <w:pPr>
      <w:overflowPunct/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kern w:val="2"/>
      <w:sz w:val="26"/>
      <w:szCs w:val="28"/>
      <w:lang w:eastAsia="zh-CN"/>
    </w:rPr>
  </w:style>
  <w:style w:type="paragraph" w:customStyle="1" w:styleId="82">
    <w:name w:val="Основной текст 21"/>
    <w:basedOn w:val="1"/>
    <w:qFormat/>
    <w:uiPriority w:val="0"/>
    <w:pPr>
      <w:overflowPunct/>
      <w:spacing w:before="0" w:after="0" w:line="240" w:lineRule="auto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customStyle="1" w:styleId="83">
    <w:name w:val="Текст выноски2"/>
    <w:basedOn w:val="1"/>
    <w:qFormat/>
    <w:uiPriority w:val="0"/>
    <w:pPr>
      <w:spacing w:before="0"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84">
    <w:name w:val="Абзац списка"/>
    <w:basedOn w:val="1"/>
    <w:qFormat/>
    <w:uiPriority w:val="0"/>
    <w:pPr>
      <w:spacing w:before="0" w:after="0" w:line="240" w:lineRule="exact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85">
    <w:name w:val="Название объекта1"/>
    <w:basedOn w:val="1"/>
    <w:qFormat/>
    <w:uiPriority w:val="0"/>
    <w:pPr>
      <w:spacing w:before="120" w:after="120"/>
    </w:pPr>
    <w:rPr>
      <w:rFonts w:cs="Droid Sans Devanagari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46FCE-C5B3-4BC6-9CA9-07ABE80A8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980</Words>
  <Characters>6918</Characters>
  <Paragraphs>51</Paragraphs>
  <TotalTime>6</TotalTime>
  <ScaleCrop>false</ScaleCrop>
  <LinksUpToDate>false</LinksUpToDate>
  <CharactersWithSpaces>8043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2023-11-09T04:57:00Z</dcterms:created>
  <dc:creator>SuvorenkovAA</dc:creator>
  <cp:lastModifiedBy>TkachenkoZV</cp:lastModifiedBy>
  <cp:lastPrinted>2024-02-13T01:39:29Z</cp:lastPrinted>
  <dcterms:modified xsi:type="dcterms:W3CDTF">2024-02-13T01:42:37Z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1049-12.2.0.13431</vt:lpwstr>
  </property>
  <property fmtid="{D5CDD505-2E9C-101B-9397-08002B2CF9AE}" pid="7" name="ICV">
    <vt:lpwstr>084C5348532E4A04B4A53EA4494D67FB_12</vt:lpwstr>
  </property>
</Properties>
</file>