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sz w:val="32"/>
          <w:szCs w:val="20"/>
          <w:lang w:val="ru-RU" w:eastAsia="ru-RU"/>
        </w:rPr>
      </w:pPr>
      <w:r>
        <w:rPr>
          <w:rFonts w:eastAsia="Times New Roman"/>
          <w:b/>
          <w:sz w:val="32"/>
          <w:szCs w:val="20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>
      <w:pPr>
        <w:pStyle w:val="Normal"/>
        <w:tabs>
          <w:tab w:val="clear" w:pos="367"/>
          <w:tab w:val="left" w:pos="851" w:leader="none"/>
        </w:tabs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аукциона в электронной форме по продаже муниципального имущества под разборку</w:t>
      </w:r>
    </w:p>
    <w:p>
      <w:pPr>
        <w:pStyle w:val="Normal"/>
        <w:tabs>
          <w:tab w:val="clear" w:pos="367"/>
          <w:tab w:val="left" w:pos="851" w:leader="none"/>
        </w:tabs>
        <w:spacing w:lineRule="auto" w:line="240"/>
        <w:ind w:left="0" w:right="0" w:firstLine="708"/>
        <w:jc w:val="center"/>
        <w:rPr/>
      </w:pPr>
      <w:r>
        <w:rPr>
          <w:rFonts w:eastAsia="Times New Roman"/>
          <w:b/>
          <w:sz w:val="28"/>
          <w:szCs w:val="28"/>
          <w:lang w:val="ru-RU" w:eastAsia="ru-RU"/>
        </w:rPr>
        <w:t>н</w:t>
      </w:r>
      <w:r>
        <w:rPr>
          <w:rFonts w:eastAsia="SimSun;宋体" w:cs="Arial"/>
          <w:b/>
          <w:bCs/>
          <w:sz w:val="28"/>
          <w:szCs w:val="28"/>
          <w:lang w:val="ru-RU" w:eastAsia="zh-CN"/>
        </w:rPr>
        <w:t>ежилого здания школы, расположенного в с. Шекляево,               ул. Арсеньева, д. 13, общей площадью 584 кв.м</w:t>
      </w:r>
    </w:p>
    <w:p>
      <w:pPr>
        <w:pStyle w:val="Normal"/>
        <w:tabs>
          <w:tab w:val="clear" w:pos="367"/>
          <w:tab w:val="left" w:pos="851" w:leader="none"/>
        </w:tabs>
        <w:jc w:val="center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tabs>
          <w:tab w:val="clear" w:pos="367"/>
          <w:tab w:val="left" w:pos="851" w:leader="none"/>
        </w:tabs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tbl>
      <w:tblPr>
        <w:tblStyle w:val="2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01"/>
        <w:gridCol w:w="4616"/>
        <w:gridCol w:w="738"/>
      </w:tblGrid>
      <w:tr>
        <w:trPr/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22 июля 2020 г.</w:t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22 августа 2020 г.</w:t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25 августа 2020 г.</w:t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6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28 августа 2020 г.</w:t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rPr>
          <w:rFonts w:ascii="TimesNewRoman,Bold" w:hAnsi="TimesNewRoman,Bold" w:eastAsia="Times New Roman" w:cs="TimesNewRoman,Bold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sz w:val="28"/>
          <w:szCs w:val="28"/>
          <w:lang w:val="ru-RU" w:eastAsia="ru-RU"/>
        </w:rPr>
        <w:t>СОДЕРЖАНИЕ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1. Основные понятия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2. Правовое регулирование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3. Сведения об аукционе </w:t>
      </w:r>
    </w:p>
    <w:p>
      <w:pPr>
        <w:pStyle w:val="Normal"/>
        <w:rPr>
          <w:rFonts w:eastAsia="Times New 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5. Сроки и порядок регистрации на электронной площадке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6. Порядок подачи (приема) и отзыва заявок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9. Порядок внесения задатка и его возврата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11. Порядок определения участников аукциона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12. Порядок проведения аукциона и определения победителя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14. Переход права собственности на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муниципальное</w:t>
      </w:r>
      <w:r>
        <w:rPr>
          <w:rFonts w:eastAsia="Times New Roman" w:cs="TimesNewRoman" w:ascii="TimesNewRoman" w:hAnsi="TimesNewRoman"/>
          <w:lang w:val="ru-RU" w:eastAsia="ru-RU"/>
        </w:rPr>
        <w:t xml:space="preserve"> имущество</w:t>
      </w:r>
    </w:p>
    <w:p>
      <w:pPr>
        <w:pStyle w:val="Normal"/>
        <w:rPr>
          <w:rFonts w:ascii="Calibri" w:hAnsi="Calibri" w:eastAsia="Times New Roman" w:cs="TimesNewRoman" w:asciiTheme="minorHAnsi" w:hAnsiTheme="minorHAnsi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15. Вознаграждение Продавцу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16. Заключительные положения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Приложение 1 (заявка) </w:t>
        <w:br/>
        <w:t xml:space="preserve">Приложение 2 (договор купли-продажи)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/>
        <w:ind w:left="108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Основные понятия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района, права на которое передается по договору купли-продажи (далее – имущество).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района, </w:t>
      </w:r>
      <w:r>
        <w:rPr>
          <w:kern w:val="2"/>
          <w:lang w:val="ru-RU"/>
        </w:rPr>
        <w:t>ОГРН</w:t>
      </w:r>
      <w:r>
        <w:rPr>
          <w:lang w:val="ru-RU"/>
        </w:rPr>
        <w:t xml:space="preserve"> 1022500513640,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  <w:br/>
        <w:t>№ 1914-р и от 08 февраля 2017 г. № 227-р;</w:t>
      </w:r>
    </w:p>
    <w:p>
      <w:pPr>
        <w:pStyle w:val="Normal"/>
        <w:tabs>
          <w:tab w:val="clear" w:pos="367"/>
          <w:tab w:val="left" w:pos="0" w:leader="none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264"/>
        <w:ind w:left="72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Сведения об Имуществе</w:t>
      </w:r>
    </w:p>
    <w:p>
      <w:pPr>
        <w:pStyle w:val="Normal"/>
        <w:tabs>
          <w:tab w:val="clear" w:pos="367"/>
          <w:tab w:val="left" w:pos="0" w:leader="none"/>
        </w:tabs>
        <w:ind w:right="57" w:firstLine="567"/>
        <w:jc w:val="both"/>
        <w:rPr/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>распоряжение администрации Анучинского муниципального района</w:t>
      </w:r>
      <w:r>
        <w:rPr>
          <w:rFonts w:eastAsia="Calibri" w:eastAsiaTheme="minorHAnsi"/>
          <w:kern w:val="2"/>
          <w:lang w:val="ru-RU"/>
        </w:rPr>
        <w:t xml:space="preserve"> от 13 июля 2020 г. № 433-р</w:t>
      </w:r>
    </w:p>
    <w:p>
      <w:pPr>
        <w:pStyle w:val="Normal"/>
        <w:tabs>
          <w:tab w:val="clear" w:pos="367"/>
          <w:tab w:val="left" w:pos="0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Анучинский муниципальный район</w:t>
      </w:r>
    </w:p>
    <w:p>
      <w:pPr>
        <w:pStyle w:val="Normal"/>
        <w:tabs>
          <w:tab w:val="clear" w:pos="367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>
      <w:pPr>
        <w:pStyle w:val="Normal"/>
        <w:tabs>
          <w:tab w:val="clear" w:pos="367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>
      <w:pPr>
        <w:pStyle w:val="Normal"/>
        <w:tabs>
          <w:tab w:val="clear" w:pos="367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Санкт-Петербург, Гривцова пер., д. 5, лит. В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367"/>
          <w:tab w:val="left" w:pos="0" w:leader="none"/>
          <w:tab w:val="left" w:pos="284" w:leader="none"/>
        </w:tabs>
        <w:spacing w:lineRule="auto" w:line="264"/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- </w:t>
      </w:r>
      <w:hyperlink r:id="rId2">
        <w:r>
          <w:rPr>
            <w:rStyle w:val="ListLabel3"/>
            <w:rFonts w:eastAsia="Times New Roman"/>
            <w:lang w:val="ru-RU" w:eastAsia="ru-RU"/>
          </w:rPr>
          <w:t xml:space="preserve"> </w:t>
        </w:r>
        <w:r>
          <w:rPr>
            <w:rStyle w:val="ListLabel3"/>
            <w:rFonts w:eastAsia="Times New Roman"/>
            <w:lang w:eastAsia="ru-RU"/>
          </w:rPr>
          <w:t>http</w:t>
        </w:r>
        <w:r>
          <w:rPr>
            <w:rStyle w:val="ListLabel3"/>
            <w:rFonts w:eastAsia="Times New Roman"/>
            <w:lang w:val="ru-RU" w:eastAsia="ru-RU"/>
          </w:rPr>
          <w:t>://</w:t>
        </w:r>
        <w:r>
          <w:rPr>
            <w:rStyle w:val="ListLabel3"/>
            <w:rFonts w:eastAsia="Times New Roman"/>
            <w:lang w:eastAsia="ru-RU"/>
          </w:rPr>
          <w:t>lot</w:t>
        </w:r>
        <w:r>
          <w:rPr>
            <w:rStyle w:val="ListLabel3"/>
            <w:rFonts w:eastAsia="Times New Roman"/>
            <w:lang w:val="ru-RU" w:eastAsia="ru-RU"/>
          </w:rPr>
          <w:t>-</w:t>
        </w:r>
        <w:r>
          <w:rPr>
            <w:rStyle w:val="ListLabel3"/>
            <w:rFonts w:eastAsia="Times New Roman"/>
            <w:lang w:eastAsia="ru-RU"/>
          </w:rPr>
          <w:t>online</w:t>
        </w:r>
        <w:r>
          <w:rPr>
            <w:rStyle w:val="ListLabel3"/>
            <w:rFonts w:eastAsia="Times New Roman"/>
            <w:lang w:val="ru-RU" w:eastAsia="ru-RU"/>
          </w:rPr>
          <w:t>.</w:t>
        </w:r>
        <w:r>
          <w:rPr>
            <w:rStyle w:val="ListLabel3"/>
            <w:rFonts w:eastAsia="Times New Roman"/>
            <w:lang w:eastAsia="ru-RU"/>
          </w:rPr>
          <w:t>ru</w:t>
        </w:r>
        <w:r>
          <w:rPr>
            <w:rStyle w:val="ListLabel3"/>
            <w:rFonts w:eastAsia="Times New Roman"/>
            <w:szCs w:val="20"/>
            <w:lang w:val="ru-RU" w:eastAsia="ru-RU"/>
          </w:rPr>
          <w:t>.</w:t>
        </w:r>
      </w:hyperlink>
    </w:p>
    <w:p>
      <w:pPr>
        <w:pStyle w:val="Normal"/>
        <w:tabs>
          <w:tab w:val="clear" w:pos="367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>
      <w:pPr>
        <w:pStyle w:val="Normal"/>
        <w:tabs>
          <w:tab w:val="clear" w:pos="367"/>
          <w:tab w:val="left" w:pos="0" w:leader="none"/>
        </w:tabs>
        <w:ind w:left="709" w:hanging="0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>Администрация Анучинского муниципального района</w:t>
      </w:r>
      <w:r>
        <w:rPr>
          <w:rFonts w:eastAsia="Times New Roman"/>
          <w:bCs/>
          <w:i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>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367"/>
          <w:tab w:val="left" w:pos="0" w:leader="none"/>
        </w:tabs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–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</w:p>
    <w:p>
      <w:pPr>
        <w:pStyle w:val="Normal"/>
        <w:tabs>
          <w:tab w:val="clear" w:pos="367"/>
          <w:tab w:val="left" w:pos="0" w:leader="none"/>
        </w:tabs>
        <w:ind w:left="709" w:hanging="0"/>
        <w:jc w:val="both"/>
        <w:rPr/>
      </w:pPr>
      <w:r>
        <w:rPr>
          <w:rFonts w:eastAsia="Times New Roman"/>
          <w:lang w:val="ru-RU" w:eastAsia="ru-RU"/>
        </w:rPr>
        <w:t>Телефон – 8 (42362) 91-6-07.</w:t>
      </w:r>
    </w:p>
    <w:p>
      <w:pPr>
        <w:pStyle w:val="Normal"/>
        <w:tabs>
          <w:tab w:val="clear" w:pos="367"/>
          <w:tab w:val="left" w:pos="0" w:leader="none"/>
        </w:tabs>
        <w:ind w:right="57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pStyle w:val="Normal"/>
        <w:tabs>
          <w:tab w:val="clear" w:pos="367"/>
          <w:tab w:val="left" w:pos="0" w:leader="none"/>
        </w:tabs>
        <w:jc w:val="both"/>
        <w:rPr>
          <w:rFonts w:eastAsia="Times New Roman"/>
          <w:b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>
      <w:pPr>
        <w:pStyle w:val="Normal"/>
        <w:ind w:left="709" w:hanging="0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>
      <w:pPr>
        <w:pStyle w:val="Normal"/>
        <w:tabs>
          <w:tab w:val="clear" w:pos="367"/>
          <w:tab w:val="left" w:pos="851" w:leader="none"/>
        </w:tabs>
        <w:jc w:val="both"/>
        <w:rPr/>
      </w:pPr>
      <w:r>
        <w:rPr>
          <w:sz w:val="24"/>
          <w:szCs w:val="24"/>
          <w:lang w:val="ru-RU"/>
        </w:rPr>
        <w:t>н</w:t>
      </w:r>
      <w:r>
        <w:rPr>
          <w:rFonts w:eastAsia="SimSun;宋体" w:cs="Arial"/>
          <w:bCs/>
          <w:sz w:val="24"/>
          <w:szCs w:val="24"/>
          <w:lang w:val="ru-RU" w:eastAsia="zh-CN"/>
        </w:rPr>
        <w:t>ежилое здание школы, расположенное в с. Шекляево, ул. Арсеньева, д. 13, общей площадью 584 кв.м</w:t>
      </w:r>
      <w:r>
        <w:rPr>
          <w:sz w:val="24"/>
          <w:szCs w:val="24"/>
          <w:lang w:val="ru-RU"/>
        </w:rPr>
        <w:t xml:space="preserve"> , </w:t>
      </w:r>
      <w:r>
        <w:rPr>
          <w:rFonts w:eastAsia="Times New Roman"/>
          <w:lang w:val="ru-RU" w:eastAsia="ru-RU"/>
        </w:rPr>
        <w:t>под разборку.</w:t>
      </w:r>
    </w:p>
    <w:p>
      <w:pPr>
        <w:pStyle w:val="Normal"/>
        <w:spacing w:lineRule="auto" w:line="25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spacing w:lineRule="auto" w:line="259" w:before="0" w:after="1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tbl>
      <w:tblPr>
        <w:tblStyle w:val="11"/>
        <w:tblpPr w:bottomFromText="0" w:horzAnchor="margin" w:leftFromText="180" w:rightFromText="180" w:tblpX="0" w:tblpXSpec="center" w:tblpY="152" w:topFromText="0" w:vertAnchor="text"/>
        <w:tblW w:w="978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36"/>
        <w:gridCol w:w="6249"/>
      </w:tblGrid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bCs/>
                <w:szCs w:val="20"/>
                <w:lang w:val="ru-RU" w:eastAsia="ru-RU"/>
              </w:rPr>
              <w:t>Ос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новное стр</w:t>
            </w:r>
            <w:r>
              <w:rPr>
                <w:rFonts w:eastAsia="Times New Roman" w:cs="Times New Roman"/>
                <w:bCs/>
                <w:szCs w:val="20"/>
                <w:lang w:val="ru-RU" w:eastAsia="ru-RU"/>
              </w:rPr>
              <w:t>оение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Адрес: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 xml:space="preserve">Приморский край, Анучинский р-н,  </w:t>
            </w:r>
            <w:r>
              <w:rPr>
                <w:rFonts w:eastAsia="SimSun;宋体" w:cs="Arial"/>
                <w:bCs/>
                <w:sz w:val="24"/>
                <w:szCs w:val="24"/>
                <w:lang w:val="ru-RU" w:eastAsia="zh-CN"/>
              </w:rPr>
              <w:t>с. Шекляево, ул. Арсеньева, д. 13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454" w:hanging="454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Правоустанавливающие документы: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ru-RU" w:eastAsia="ru-RU"/>
              </w:rPr>
              <w:t>П</w:t>
            </w:r>
            <w:r>
              <w:rPr>
                <w:rFonts w:eastAsia="Times New Roman" w:cs="Times New Roman"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eastAsia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454" w:hanging="454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Кадастровый номер: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Кадастровая стоимость (руб.):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Назначение: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Нежилое здание школы</w:t>
            </w:r>
          </w:p>
        </w:tc>
      </w:tr>
      <w:tr>
        <w:trPr>
          <w:trHeight w:val="300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Площадь объекта (кв. м):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584,0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Этажность: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1, в том числе подземных 0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Год постройки: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val="ru-RU" w:eastAsia="ru-RU"/>
              </w:rPr>
              <w:t>1961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Обременения (ограничения):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не зарегистрированы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МЧС:</w:t>
            </w:r>
          </w:p>
        </w:tc>
        <w:tc>
          <w:tcPr>
            <w:tcW w:w="62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bCs/>
                <w:szCs w:val="20"/>
                <w:lang w:val="ru-RU" w:eastAsia="ru-RU"/>
              </w:rPr>
              <w:t>Не относится к объектам гражданской обороны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ОКН:</w:t>
            </w:r>
          </w:p>
        </w:tc>
        <w:tc>
          <w:tcPr>
            <w:tcW w:w="62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bCs/>
                <w:szCs w:val="20"/>
                <w:lang w:val="ru-RU" w:eastAsia="ru-RU"/>
              </w:rPr>
              <w:t>Не относится к объектам культурного наследия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Прочие характеристики:</w:t>
            </w:r>
          </w:p>
        </w:tc>
        <w:tc>
          <w:tcPr>
            <w:tcW w:w="62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-</w:t>
            </w:r>
          </w:p>
        </w:tc>
      </w:tr>
      <w:tr>
        <w:trPr>
          <w:trHeight w:val="45" w:hRule="atLeast"/>
        </w:trPr>
        <w:tc>
          <w:tcPr>
            <w:tcW w:w="3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val="ru-RU"/>
              </w:rPr>
            </w:pPr>
            <w:r>
              <w:rPr>
                <w:rFonts w:eastAsia="Times New Roman" w:cs="Times New Roman"/>
                <w:szCs w:val="20"/>
                <w:lang w:val="ru-RU" w:eastAsia="ru-RU"/>
              </w:rPr>
              <w:t>Инвентарный номер (реестровый):</w:t>
            </w:r>
          </w:p>
        </w:tc>
        <w:tc>
          <w:tcPr>
            <w:tcW w:w="6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eastAsia="ru-RU"/>
              </w:rPr>
              <w:t>08/002/097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59"/>
        <w:ind w:firstLine="708"/>
        <w:rPr/>
      </w:pPr>
      <w:r>
        <w:rPr>
          <w:rFonts w:eastAsia="Times New Roman"/>
          <w:b/>
          <w:bCs/>
          <w:lang w:val="ru-RU" w:eastAsia="ru-RU"/>
        </w:rPr>
        <w:t xml:space="preserve">Начальная цена (лота) -  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200 300 (Двести тысяч триста) рублей 00 копеек, с учетом НДС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>
        <w:rPr>
          <w:rFonts w:eastAsia="Times New Roman"/>
          <w:b w:val="false"/>
          <w:bCs w:val="false"/>
          <w:lang w:val="ru-RU" w:eastAsia="ru-RU"/>
        </w:rPr>
        <w:t>10 015</w:t>
      </w:r>
      <w:r>
        <w:rPr>
          <w:b w:val="false"/>
          <w:bCs w:val="false"/>
          <w:szCs w:val="28"/>
          <w:lang w:val="ru-RU"/>
        </w:rPr>
        <w:t xml:space="preserve"> (десять</w:t>
      </w:r>
      <w:r>
        <w:rPr>
          <w:bCs/>
          <w:szCs w:val="28"/>
          <w:lang w:val="ru-RU"/>
        </w:rPr>
        <w:t xml:space="preserve"> тысяч пятнадцать)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>
        <w:rPr>
          <w:rFonts w:eastAsia="Times New Roman"/>
          <w:b w:val="false"/>
          <w:bCs w:val="false"/>
          <w:lang w:val="ru-RU" w:eastAsia="ru-RU"/>
        </w:rPr>
        <w:t>40 060</w:t>
      </w:r>
      <w:r>
        <w:rPr>
          <w:bCs/>
          <w:szCs w:val="28"/>
          <w:lang w:val="ru-RU"/>
        </w:rPr>
        <w:t xml:space="preserve"> (сорок тысяч шестьдесят)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1"/>
        <w:rPr/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>с 22 июля</w:t>
      </w:r>
      <w:r>
        <w:rPr>
          <w:lang w:val="ru-RU"/>
        </w:rPr>
        <w:t xml:space="preserve"> 2020 г. </w:t>
      </w:r>
      <w:r>
        <w:rPr>
          <w:rFonts w:eastAsia="Times New Roman"/>
          <w:bCs/>
          <w:lang w:val="ru-RU" w:eastAsia="ru-RU"/>
        </w:rPr>
        <w:t>по 22 августа</w:t>
      </w:r>
      <w:r>
        <w:rPr>
          <w:bCs/>
          <w:szCs w:val="28"/>
          <w:lang w:val="ru-RU"/>
        </w:rPr>
        <w:t xml:space="preserve"> 2020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  <w:br/>
        <w:t>23</w:t>
      </w:r>
      <w:r>
        <w:rPr>
          <w:bCs/>
          <w:szCs w:val="28"/>
          <w:lang w:val="ru-RU"/>
        </w:rPr>
        <w:t xml:space="preserve"> августа 2020 г.</w:t>
      </w:r>
    </w:p>
    <w:p>
      <w:pPr>
        <w:pStyle w:val="Normal"/>
        <w:tabs>
          <w:tab w:val="clear" w:pos="367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bCs/>
          <w:szCs w:val="28"/>
          <w:lang w:val="ru-RU"/>
        </w:rPr>
        <w:t>Торги не проводились</w:t>
      </w:r>
    </w:p>
    <w:p>
      <w:pPr>
        <w:pStyle w:val="Normal"/>
        <w:tabs>
          <w:tab w:val="clear" w:pos="367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</w:r>
    </w:p>
    <w:p>
      <w:pPr>
        <w:pStyle w:val="Normal"/>
        <w:tabs>
          <w:tab w:val="clear" w:pos="367"/>
          <w:tab w:val="left" w:pos="0" w:leader="none"/>
        </w:tabs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>
      <w:pPr>
        <w:pStyle w:val="Normal"/>
        <w:ind w:firstLine="709"/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аукциона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3">
        <w:r>
          <w:rPr>
            <w:rStyle w:val="Style14"/>
            <w:rFonts w:eastAsia="Times New Roman" w:cs="TimesNewRoman,Bold" w:ascii="TimesNewRoman,Bold" w:hAnsi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4.2. Дата и время начала подачи (приема): 22 июля </w:t>
      </w:r>
      <w:r>
        <w:rPr>
          <w:lang w:val="ru-RU"/>
        </w:rPr>
        <w:t xml:space="preserve"> 2020 г.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в 3</w:t>
      </w:r>
      <w:r>
        <w:rPr>
          <w:lang w:val="ru-RU"/>
        </w:rPr>
        <w:t>:00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Подача Заявок осуществляется круглосуточно.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4.3. Дата и время окончания подачи (приема): 22 августа</w:t>
      </w:r>
      <w:r>
        <w:rPr>
          <w:lang w:val="ru-RU"/>
        </w:rPr>
        <w:t xml:space="preserve"> 2020 г.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 в 10:00.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4.4. Дата и время определения Участников: 23 августа</w:t>
      </w:r>
      <w:r>
        <w:rPr>
          <w:lang w:val="ru-RU"/>
        </w:rPr>
        <w:t xml:space="preserve"> 2020 г.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в 8:00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4.5. Дата, время и срок проведения аукциона: 27 августа</w:t>
      </w:r>
      <w:r>
        <w:rPr>
          <w:lang w:val="ru-RU"/>
        </w:rPr>
        <w:t xml:space="preserve"> 2020 г. в 4:00 и до последнего предложения Участников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</w:t>
      </w:r>
      <w:bookmarkStart w:id="0" w:name="_GoBack"/>
      <w:bookmarkEnd w:id="0"/>
      <w:r>
        <w:rPr>
          <w:lang w:val="ru-RU"/>
        </w:rPr>
        <w:t>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i/>
          <w:i/>
          <w:lang w:val="ru-RU" w:eastAsia="ru-RU"/>
        </w:rPr>
      </w:pPr>
      <w:r>
        <w:rPr>
          <w:rFonts w:eastAsia="Times New Roman"/>
          <w:b/>
          <w:bCs/>
          <w:i/>
          <w:lang w:val="ru-RU" w:eastAsia="ru-RU"/>
        </w:rPr>
      </w:r>
    </w:p>
    <w:p>
      <w:pPr>
        <w:pStyle w:val="Normal"/>
        <w:widowControl w:val="false"/>
        <w:spacing w:before="0" w:after="0"/>
        <w:ind w:firstLine="851"/>
        <w:contextualSpacing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  <w:br/>
        <w:t>в аукционе осуществляется ежедневно, круглосуточно, но не позднее даты и времени окончания подачи (приема) Заявок.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>
        <w:rPr>
          <w:bCs/>
        </w:rPr>
        <w:t>11520</w:t>
      </w:r>
      <w:r>
        <w:rPr>
          <w:bCs/>
          <w:szCs w:val="28"/>
        </w:rPr>
        <w:t xml:space="preserve"> (одиннадцать тысяч пятьсот двадцать) рублей</w:t>
      </w:r>
      <w:r>
        <w:rPr>
          <w:bCs/>
        </w:rPr>
        <w:t xml:space="preserve"> </w:t>
      </w:r>
      <w:r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Style14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cs="TimesNewRoman" w:ascii="TimesNewRoman" w:hAnsi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).</w:t>
      </w:r>
    </w:p>
    <w:p>
      <w:pPr>
        <w:pStyle w:val="Normal"/>
        <w:tabs>
          <w:tab w:val="clear" w:pos="367"/>
          <w:tab w:val="left" w:pos="284" w:leader="none"/>
        </w:tabs>
        <w:jc w:val="both"/>
        <w:rPr>
          <w:rFonts w:ascii="TimesNewRoman" w:hAnsi="TimesNewRoman" w:eastAsia="Times New Roman" w:cs="TimesNewRoman"/>
          <w:bCs/>
          <w:sz w:val="22"/>
          <w:szCs w:val="22"/>
          <w:lang w:val="ru-RU" w:eastAsia="ru-RU"/>
        </w:rPr>
      </w:pPr>
      <w:r>
        <w:rPr>
          <w:rFonts w:eastAsia="Times New Roman" w:cs="TimesNewRoman" w:ascii="TimesNewRoman" w:hAnsi="TimesNewRoman"/>
          <w:bCs/>
          <w:sz w:val="22"/>
          <w:szCs w:val="22"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>
      <w:pPr>
        <w:pStyle w:val="Normal"/>
        <w:ind w:left="157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7.1. </w:t>
      </w:r>
      <w:r>
        <w:rPr>
          <w:rFonts w:cs="TimesNewRoman" w:ascii="TimesNewRoman" w:hAnsi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cs="TimesNewRoman" w:ascii="Calibri" w:hAnsi="Calibri" w:asciiTheme="minorHAnsi" w:hAnsiTheme="minorHAnsi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cs="TimesNewRoman" w:ascii="TimesNewRoman" w:hAnsi="TimesNewRoman"/>
          <w:bCs/>
          <w:szCs w:val="24"/>
        </w:rPr>
        <w:t>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  <w:u w:val="single"/>
        </w:rPr>
        <w:t>7.1.2. юридические лица</w:t>
      </w:r>
      <w:r>
        <w:rPr>
          <w:rFonts w:cs="TimesNewRoman" w:ascii="TimesNewRoman" w:hAnsi="TimesNewRoman"/>
          <w:bCs/>
          <w:szCs w:val="24"/>
        </w:rPr>
        <w:t>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1) заверенные копии учредительных документов;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cs="TimesNewRoman" w:ascii="TimesNewRoman" w:hAnsi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предъявляют </w:t>
      </w:r>
      <w:r>
        <w:rPr>
          <w:rFonts w:cs="TimesNewRoman" w:ascii="TimesNewRoman" w:hAnsi="TimesNewRoman"/>
          <w:bCs/>
          <w:szCs w:val="24"/>
        </w:rPr>
        <w:t>документ, удостоверяющий личность, или представляют копии всех его листов.</w:t>
      </w:r>
    </w:p>
    <w:p>
      <w:pPr>
        <w:pStyle w:val="Normal"/>
        <w:ind w:firstLine="851"/>
        <w:jc w:val="both"/>
        <w:rPr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>
      <w:pPr>
        <w:pStyle w:val="BodyText2"/>
        <w:ind w:left="0" w:firstLine="709"/>
        <w:rPr>
          <w:rFonts w:ascii="TimesNewRoman" w:hAnsi="TimesNewRoman" w:cs="TimesNewRoman"/>
          <w:szCs w:val="24"/>
        </w:rPr>
      </w:pPr>
      <w:r>
        <w:rPr>
          <w:rFonts w:cs="TimesNewRoman" w:ascii="TimesNewRoman" w:hAnsi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left="85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Normal"/>
        <w:ind w:left="851" w:hanging="0"/>
        <w:jc w:val="center"/>
        <w:rPr>
          <w:rFonts w:ascii="TimesNewRoman" w:hAnsi="TimesNewRoman" w:eastAsia="Times New 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>
      <w:pPr>
        <w:pStyle w:val="BodyText2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rPr/>
        <w:t>Лица отвечающие</w:t>
      </w:r>
      <w:r>
        <w:rPr>
          <w:rFonts w:cs="TimesNewRoman" w:ascii="TimesNewRoman" w:hAnsi="TimesNewRoman"/>
          <w:szCs w:val="24"/>
        </w:rPr>
        <w:t xml:space="preserve"> признакам покупателя в соответствии с Федеральным законом </w:t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>
      <w:pPr>
        <w:pStyle w:val="BodyTextIndent2"/>
        <w:spacing w:lineRule="auto" w:line="240" w:before="0" w:after="0"/>
        <w:ind w:left="283" w:firstLine="425"/>
        <w:jc w:val="both"/>
        <w:rPr/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/>
        <w:t> </w:t>
      </w:r>
      <w:r>
        <w:fldChar w:fldCharType="begin"/>
      </w:r>
      <w:r>
        <w:rPr>
          <w:rStyle w:val="ListLabel7"/>
        </w:rPr>
        <w:instrText> HYPERLINK "http://www.consultant.ru/document/cons_doc_LAW_283163/4a32fa878af996f0b5994ea86e0e1f2238211e0f/" \l "dst5"</w:instrText>
      </w:r>
      <w:r>
        <w:rPr>
          <w:rStyle w:val="ListLabel7"/>
        </w:rPr>
        <w:fldChar w:fldCharType="separate"/>
      </w:r>
      <w:r>
        <w:rPr>
          <w:rStyle w:val="ListLabel7"/>
          <w:lang w:val="ru-RU"/>
        </w:rPr>
        <w:t>перечень</w:t>
      </w:r>
      <w:r>
        <w:rPr>
          <w:rStyle w:val="ListLabel7"/>
        </w:rPr>
        <w:fldChar w:fldCharType="end"/>
      </w:r>
      <w:r>
        <w:rPr/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367"/>
          <w:tab w:val="left" w:pos="284" w:leader="none"/>
        </w:tabs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firstLine="709"/>
        <w:jc w:val="both"/>
        <w:rPr/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>
      <w:pPr>
        <w:pStyle w:val="Normal"/>
        <w:ind w:firstLine="709"/>
        <w:jc w:val="both"/>
        <w:rPr/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 xml:space="preserve">«задаток для участия в аукционе по продаже </w:t>
      </w:r>
      <w:r>
        <w:rPr>
          <w:lang w:val="ru-RU"/>
        </w:rPr>
        <w:t>не</w:t>
      </w:r>
      <w:r>
        <w:rPr>
          <w:lang w:val="ru-RU"/>
        </w:rPr>
        <w:t>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4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 xml:space="preserve">) 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     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Назначение платежа: «задаток для участия в аукционе по продаже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не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движимого имущества ________________ (указать код лота на электронной площадке </w:t>
      </w:r>
      <w:hyperlink r:id="rId5">
        <w:r>
          <w:rPr>
            <w:rStyle w:val="Style14"/>
            <w:rFonts w:eastAsia="Times New Roman" w:cs="TimesNewRoman,Bold" w:ascii="TimesNewRoman,Bold" w:hAnsi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) </w:t>
      </w:r>
      <w:r>
        <w:rPr>
          <w:rFonts w:eastAsia="Times New Roman" w:cs="TimesNewRoman,Bold" w:ascii="TimesNewRoman,Bold" w:hAnsi="TimesNewRoman,Bold"/>
          <w:b w:val="false"/>
          <w:bCs w:val="false"/>
          <w:sz w:val="24"/>
          <w:szCs w:val="24"/>
          <w:lang w:val="ru-RU" w:eastAsia="ru-RU"/>
        </w:rPr>
        <w:t xml:space="preserve"> здание школы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  <w:bookmarkEnd w:id="1"/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9.1.2. Задаток вносится единым платежом.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1"/>
          <w:numId w:val="4"/>
        </w:numPr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/>
          <w:bCs/>
          <w:lang w:val="ru-RU" w:eastAsia="ru-RU"/>
        </w:rPr>
        <w:t>Порядок возврата задатка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9.2.1. Лицам, </w:t>
      </w:r>
      <w:r>
        <w:rPr>
          <w:rFonts w:cs="TimesNewRoman,Bold" w:ascii="TimesNewRoman,Bold" w:hAnsi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 xml:space="preserve">б) претендентам, не допущенным к участию в продаже имущества, - в течение </w:t>
        <w:br/>
        <w:t>5 (пяти) календарных дней со дня подписания протокола о признании претендентов участниками.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Анучинского муниципального района в течение 5 (пяти) календарных дней со дня истечения срока, установленного для заключения договора купли-продажи имущества.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firstLine="709"/>
        <w:jc w:val="both"/>
        <w:rPr/>
      </w:pPr>
      <w:r>
        <w:rPr>
          <w:rFonts w:cs="TimesNewRoman,Bold" w:ascii="TimesNewRoman,Bold" w:hAnsi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6">
        <w:r>
          <w:rPr>
            <w:rStyle w:val="ListLabel10"/>
            <w:rFonts w:cs="TimesNewRoman,Bold" w:ascii="TimesNewRoman,Bold" w:hAnsi="TimesNewRoman,Bold"/>
            <w:bCs/>
            <w:lang w:val="ru-RU"/>
          </w:rPr>
          <w:t>законодательством</w:t>
        </w:r>
      </w:hyperlink>
      <w:r>
        <w:rPr>
          <w:rFonts w:cs="TimesNewRoman,Bold" w:ascii="TimesNewRoman,Bold" w:hAnsi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numPr>
          <w:ilvl w:val="0"/>
          <w:numId w:val="4"/>
        </w:numPr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  <w:br/>
        <w:t>выставляемом на аукционе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  <w:br/>
        <w:t>№ 178-ФЗ «О приватизации государственного и муниципального имущества».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7">
        <w:r>
          <w:rPr>
            <w:rStyle w:val="ListLabel11"/>
            <w:rFonts w:eastAsia="Times New Roman"/>
            <w:u w:val="single"/>
            <w:lang w:val="ru-RU" w:eastAsia="ru-RU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, на сайте в сети «Интернет» Оператора (электронная площадка) </w:t>
      </w:r>
      <w:hyperlink r:id="rId8">
        <w:r>
          <w:rPr>
            <w:rStyle w:val="Style14"/>
            <w:rFonts w:eastAsia="Times New Roman"/>
            <w:color w:val="auto"/>
            <w:lang w:eastAsia="ru-RU"/>
          </w:rPr>
          <w:t>www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lot</w:t>
        </w:r>
        <w:r>
          <w:rPr>
            <w:rStyle w:val="Style14"/>
            <w:rFonts w:eastAsia="Times New Roman"/>
            <w:color w:val="auto"/>
            <w:lang w:val="ru-RU" w:eastAsia="ru-RU"/>
          </w:rPr>
          <w:t>-</w:t>
        </w:r>
        <w:r>
          <w:rPr>
            <w:rStyle w:val="Style14"/>
            <w:rFonts w:eastAsia="Times New Roman"/>
            <w:color w:val="auto"/>
            <w:lang w:eastAsia="ru-RU"/>
          </w:rPr>
          <w:t>online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ru</w:t>
        </w:r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r>
        <w:rPr/>
        <w:t>anuchinsky</w:t>
      </w:r>
      <w:r>
        <w:rPr>
          <w:lang w:val="ru-RU"/>
        </w:rPr>
        <w:t>_</w:t>
      </w:r>
      <w:r>
        <w:rPr/>
        <w:t>oizo</w:t>
      </w:r>
      <w:r>
        <w:rPr>
          <w:lang w:val="ru-RU"/>
        </w:rPr>
        <w:t>@</w:t>
      </w:r>
      <w:r>
        <w:rPr/>
        <w:t>mo</w:t>
      </w:r>
      <w:r>
        <w:rPr>
          <w:lang w:val="ru-RU"/>
        </w:rPr>
        <w:t>.</w:t>
      </w:r>
      <w:r>
        <w:rPr/>
        <w:t>primorsky</w:t>
      </w:r>
      <w:r>
        <w:rPr>
          <w:lang w:val="ru-RU"/>
        </w:rPr>
        <w:t>.</w:t>
      </w:r>
      <w:r>
        <w:rPr/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left="851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>
      <w:pPr>
        <w:pStyle w:val="Normal"/>
        <w:numPr>
          <w:ilvl w:val="0"/>
          <w:numId w:val="0"/>
        </w:numPr>
        <w:tabs>
          <w:tab w:val="clear" w:pos="367"/>
          <w:tab w:val="left" w:pos="540" w:leader="none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>
      <w:pPr>
        <w:pStyle w:val="Normal"/>
        <w:spacing w:lineRule="auto" w:line="276" w:before="120" w:after="120"/>
        <w:ind w:firstLine="851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367"/>
          <w:tab w:val="left" w:pos="0" w:leader="none"/>
        </w:tabs>
        <w:ind w:left="851" w:hanging="0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367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Анучинского муниципального района на счет по следующим реквизитам: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rFonts w:eastAsia="Times New Roman"/>
          <w:lang w:val="ru-RU" w:eastAsia="ru-RU"/>
        </w:rPr>
        <w:t>Получатель:</w:t>
      </w:r>
      <w:r>
        <w:rPr>
          <w:lang w:val="ru-RU"/>
        </w:rPr>
        <w:t>: Администрация Анучинского муниципального района;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lang w:val="ru-RU"/>
        </w:rPr>
        <w:t xml:space="preserve">ИНН </w:t>
      </w:r>
      <w:r>
        <w:rPr>
          <w:bCs/>
          <w:lang w:val="ru-RU"/>
        </w:rPr>
        <w:t>2513000955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lang w:val="ru-RU"/>
        </w:rPr>
        <w:t xml:space="preserve">КПП </w:t>
      </w:r>
      <w:r>
        <w:rPr>
          <w:bCs/>
          <w:lang w:val="ru-RU"/>
        </w:rPr>
        <w:t xml:space="preserve">251301001  </w:t>
      </w:r>
    </w:p>
    <w:p>
      <w:pPr>
        <w:pStyle w:val="Normal"/>
        <w:rPr/>
      </w:pPr>
      <w:r>
        <w:rPr>
          <w:lang w:val="ru-RU"/>
        </w:rPr>
        <w:t xml:space="preserve">                 </w:t>
      </w:r>
      <w:r>
        <w:rPr>
          <w:lang w:val="ru-RU"/>
        </w:rPr>
        <w:t xml:space="preserve">р/счет </w:t>
      </w:r>
      <w:r>
        <w:rPr>
          <w:bCs/>
          <w:lang w:val="ru-RU"/>
        </w:rPr>
        <w:t xml:space="preserve"> 40101810900000010002  </w:t>
      </w:r>
    </w:p>
    <w:p>
      <w:pPr>
        <w:pStyle w:val="Normal"/>
        <w:rPr/>
      </w:pPr>
      <w:r>
        <w:rPr>
          <w:bCs/>
          <w:lang w:val="ru-RU"/>
        </w:rPr>
        <w:t xml:space="preserve">                 </w:t>
      </w:r>
      <w:r>
        <w:rPr>
          <w:bCs/>
          <w:lang w:val="ru-RU"/>
        </w:rPr>
        <w:t xml:space="preserve">БАНК: </w:t>
      </w:r>
      <w:r>
        <w:rPr>
          <w:lang w:val="ru-RU"/>
        </w:rPr>
        <w:t xml:space="preserve">Дальневосточное  ГУ Банка России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г. Владивосток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lang w:val="ru-RU"/>
        </w:rPr>
        <w:t xml:space="preserve">БИК </w:t>
      </w:r>
      <w:r>
        <w:rPr>
          <w:bCs/>
          <w:lang w:val="ru-RU"/>
        </w:rPr>
        <w:t>040507001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bCs/>
          <w:lang w:val="ru-RU"/>
        </w:rPr>
        <w:t>ОКТМО 05502000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/>
      </w:pPr>
      <w:r>
        <w:rPr>
          <w:rFonts w:eastAsia="Calibri" w:eastAsiaTheme="minorHAnsi"/>
          <w:bCs/>
          <w:lang w:val="ru-RU"/>
        </w:rPr>
        <w:t>Код налога 900  114 02043 04 0000 410</w:t>
      </w:r>
    </w:p>
    <w:p>
      <w:pPr>
        <w:pStyle w:val="Normal"/>
        <w:tabs>
          <w:tab w:val="clear" w:pos="367"/>
          <w:tab w:val="left" w:pos="0" w:leader="none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fill="FFFFFF" w:val="clear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fill="FFFFFF" w:val="clear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fill="FFFFFF" w:val="clear"/>
        </w:rPr>
        <w:t> </w:t>
      </w:r>
      <w:r>
        <w:rPr>
          <w:color w:val="333333"/>
          <w:shd w:fill="FFFFFF" w:val="clear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>
      <w:pPr>
        <w:pStyle w:val="Normal"/>
        <w:tabs>
          <w:tab w:val="clear" w:pos="367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>
      <w:pPr>
        <w:pStyle w:val="Normal"/>
        <w:tabs>
          <w:tab w:val="clear" w:pos="367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>
      <w:pPr>
        <w:pStyle w:val="Normal"/>
        <w:tabs>
          <w:tab w:val="clear" w:pos="367"/>
          <w:tab w:val="left" w:pos="0" w:leader="none"/>
        </w:tabs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367"/>
          <w:tab w:val="left" w:pos="108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TimesNewRoman">
    <w:altName w:val="Bold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">
    <w:charset w:val="01"/>
    <w:family w:val="roman"/>
    <w:pitch w:val="variable"/>
  </w:font>
  <w:font w:name="Tino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36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070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da5b78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b316f"/>
    <w:rPr>
      <w:rFonts w:ascii="Segoe UI" w:hAnsi="Segoe UI" w:eastAsia="Calibri" w:cs="Segoe UI"/>
      <w:sz w:val="18"/>
      <w:szCs w:val="18"/>
      <w:lang w:val="en-US"/>
    </w:rPr>
  </w:style>
  <w:style w:type="character" w:styleId="Style16" w:customStyle="1">
    <w:name w:val="Текст сноски Знак"/>
    <w:basedOn w:val="DefaultParagraphFont"/>
    <w:link w:val="a7"/>
    <w:qFormat/>
    <w:rsid w:val="007078eb"/>
    <w:rPr>
      <w:rFonts w:ascii="Arial" w:hAnsi="Arial" w:eastAsia="Times New Roman" w:cs="Times New Roman"/>
      <w:sz w:val="20"/>
      <w:szCs w:val="20"/>
      <w:lang w:val="en-GB"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qFormat/>
    <w:rsid w:val="007078eb"/>
    <w:rPr>
      <w:vertAlign w:val="superscript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2" w:customStyle="1">
    <w:name w:val="Основной текст 2 Знак"/>
    <w:basedOn w:val="DefaultParagraphFont"/>
    <w:link w:val="20"/>
    <w:qFormat/>
    <w:rsid w:val="008a13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22"/>
    <w:uiPriority w:val="99"/>
    <w:qFormat/>
    <w:rsid w:val="008a1303"/>
    <w:rPr>
      <w:rFonts w:ascii="Times New Roman" w:hAnsi="Times New Roman" w:eastAsia="Calibri" w:cs="Times New Roman"/>
      <w:sz w:val="24"/>
      <w:szCs w:val="24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7826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"/>
    <w:uiPriority w:val="99"/>
    <w:semiHidden/>
    <w:qFormat/>
    <w:rsid w:val="00dd7826"/>
    <w:rPr>
      <w:rFonts w:ascii="Times New Roman" w:hAnsi="Times New Roman" w:eastAsia="Calibri" w:cs="Times New Roman"/>
      <w:sz w:val="20"/>
      <w:szCs w:val="20"/>
      <w:lang w:val="en-US"/>
    </w:rPr>
  </w:style>
  <w:style w:type="character" w:styleId="ListLabel1">
    <w:name w:val="ListLabel 1"/>
    <w:qFormat/>
    <w:rPr>
      <w:rFonts w:eastAsia="Times New Roman"/>
      <w:lang w:val="ru-RU" w:eastAsia="ru-RU"/>
    </w:rPr>
  </w:style>
  <w:style w:type="character" w:styleId="ListLabel2">
    <w:name w:val="ListLabel 2"/>
    <w:qFormat/>
    <w:rPr>
      <w:rFonts w:eastAsia="Times New Roman"/>
      <w:lang w:eastAsia="ru-RU"/>
    </w:rPr>
  </w:style>
  <w:style w:type="character" w:styleId="ListLabel3">
    <w:name w:val="ListLabel 3"/>
    <w:qFormat/>
    <w:rPr>
      <w:rFonts w:eastAsia="Times New Roman"/>
      <w:szCs w:val="20"/>
      <w:lang w:val="ru-RU" w:eastAsia="ru-RU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lang w:val="ru-RU"/>
    </w:rPr>
  </w:style>
  <w:style w:type="character" w:styleId="ListLabel6">
    <w:name w:val="ListLabel 6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7">
    <w:name w:val="ListLabel 7"/>
    <w:qFormat/>
    <w:rPr>
      <w:lang w:val="ru-RU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  <w:lang w:val="ru-RU"/>
    </w:rPr>
  </w:style>
  <w:style w:type="character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styleId="ListLabel11">
    <w:name w:val="ListLabel 11"/>
    <w:qFormat/>
    <w:rPr>
      <w:rFonts w:eastAsia="Times New Roman"/>
      <w:u w:val="single"/>
      <w:lang w:val="ru-RU" w:eastAsia="ru-RU"/>
    </w:rPr>
  </w:style>
  <w:style w:type="character" w:styleId="ListLabel12">
    <w:name w:val="ListLabel 12"/>
    <w:qFormat/>
    <w:rPr>
      <w:rFonts w:eastAsia="Times New Roman"/>
      <w:color w:val="auto"/>
      <w:lang w:eastAsia="ru-RU"/>
    </w:rPr>
  </w:style>
  <w:style w:type="character" w:styleId="ListLabel13">
    <w:name w:val="ListLabel 13"/>
    <w:qFormat/>
    <w:rPr>
      <w:rFonts w:eastAsia="Times New Roman"/>
      <w:color w:val="auto"/>
      <w:lang w:val="ru-RU" w:eastAsia="ru-RU"/>
    </w:rPr>
  </w:style>
  <w:style w:type="character" w:styleId="ListLabel63">
    <w:name w:val="ListLabel 63"/>
    <w:qFormat/>
    <w:rPr>
      <w:color w:val="auto"/>
    </w:rPr>
  </w:style>
  <w:style w:type="character" w:styleId="ListLabel64">
    <w:name w:val="ListLabel 64"/>
    <w:qFormat/>
    <w:rPr>
      <w:rFonts w:eastAsia="Times New Roman"/>
      <w:lang w:val="ru-RU" w:eastAsia="ru-RU"/>
    </w:rPr>
  </w:style>
  <w:style w:type="character" w:styleId="ListLabel65">
    <w:name w:val="ListLabel 65"/>
    <w:qFormat/>
    <w:rPr>
      <w:rFonts w:eastAsia="Times New Roman"/>
      <w:lang w:eastAsia="ru-RU"/>
    </w:rPr>
  </w:style>
  <w:style w:type="character" w:styleId="ListLabel66">
    <w:name w:val="ListLabel 66"/>
    <w:qFormat/>
    <w:rPr>
      <w:rFonts w:eastAsia="Times New Roman"/>
      <w:szCs w:val="20"/>
      <w:lang w:val="ru-RU" w:eastAsia="ru-RU"/>
    </w:rPr>
  </w:style>
  <w:style w:type="character" w:styleId="ListLabel67">
    <w:name w:val="ListLabel 67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68">
    <w:name w:val="ListLabel 68"/>
    <w:qFormat/>
    <w:rPr>
      <w:lang w:val="ru-RU"/>
    </w:rPr>
  </w:style>
  <w:style w:type="character" w:styleId="ListLabel69">
    <w:name w:val="ListLabel 69"/>
    <w:qFormat/>
    <w:rPr>
      <w:color w:val="auto"/>
    </w:rPr>
  </w:style>
  <w:style w:type="character" w:styleId="ListLabel70">
    <w:name w:val="ListLabel 70"/>
    <w:qFormat/>
    <w:rPr>
      <w:color w:val="auto"/>
      <w:lang w:val="ru-RU"/>
    </w:rPr>
  </w:style>
  <w:style w:type="character" w:styleId="ListLabel71">
    <w:name w:val="ListLabel 71"/>
    <w:qFormat/>
    <w:rPr>
      <w:rFonts w:ascii="TimesNewRoman,Bold" w:hAnsi="TimesNewRoman,Bold" w:cs="TimesNewRoman,Bold"/>
      <w:bCs/>
      <w:lang w:val="ru-RU"/>
    </w:rPr>
  </w:style>
  <w:style w:type="character" w:styleId="ListLabel72">
    <w:name w:val="ListLabel 72"/>
    <w:qFormat/>
    <w:rPr>
      <w:rFonts w:eastAsia="Times New Roman"/>
      <w:u w:val="single"/>
      <w:lang w:val="ru-RU" w:eastAsia="ru-RU"/>
    </w:rPr>
  </w:style>
  <w:style w:type="character" w:styleId="ListLabel73">
    <w:name w:val="ListLabel 73"/>
    <w:qFormat/>
    <w:rPr>
      <w:rFonts w:eastAsia="Times New Roman"/>
      <w:color w:val="auto"/>
      <w:lang w:eastAsia="ru-RU"/>
    </w:rPr>
  </w:style>
  <w:style w:type="character" w:styleId="ListLabel74">
    <w:name w:val="ListLabel 74"/>
    <w:qFormat/>
    <w:rPr>
      <w:rFonts w:eastAsia="Times New Roman"/>
      <w:color w:val="auto"/>
      <w:lang w:val="ru-RU" w:eastAsia="ru-RU"/>
    </w:rPr>
  </w:style>
  <w:style w:type="character" w:styleId="ListLabel75">
    <w:name w:val="ListLabel 75"/>
    <w:qFormat/>
    <w:rPr>
      <w:rFonts w:eastAsia="Times New Roman"/>
      <w:lang w:val="ru-RU" w:eastAsia="ru-RU"/>
    </w:rPr>
  </w:style>
  <w:style w:type="character" w:styleId="ListLabel76">
    <w:name w:val="ListLabel 76"/>
    <w:qFormat/>
    <w:rPr>
      <w:rFonts w:eastAsia="Times New Roman"/>
      <w:lang w:eastAsia="ru-RU"/>
    </w:rPr>
  </w:style>
  <w:style w:type="character" w:styleId="ListLabel77">
    <w:name w:val="ListLabel 77"/>
    <w:qFormat/>
    <w:rPr>
      <w:rFonts w:eastAsia="Times New Roman"/>
      <w:szCs w:val="20"/>
      <w:lang w:val="ru-RU" w:eastAsia="ru-RU"/>
    </w:rPr>
  </w:style>
  <w:style w:type="character" w:styleId="ListLabel78">
    <w:name w:val="ListLabel 78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79">
    <w:name w:val="ListLabel 79"/>
    <w:qFormat/>
    <w:rPr>
      <w:lang w:val="ru-RU"/>
    </w:rPr>
  </w:style>
  <w:style w:type="character" w:styleId="ListLabel80">
    <w:name w:val="ListLabel 80"/>
    <w:qFormat/>
    <w:rPr>
      <w:color w:val="auto"/>
    </w:rPr>
  </w:style>
  <w:style w:type="character" w:styleId="ListLabel81">
    <w:name w:val="ListLabel 81"/>
    <w:qFormat/>
    <w:rPr>
      <w:color w:val="auto"/>
      <w:lang w:val="ru-RU"/>
    </w:rPr>
  </w:style>
  <w:style w:type="character" w:styleId="ListLabel82">
    <w:name w:val="ListLabel 82"/>
    <w:qFormat/>
    <w:rPr>
      <w:rFonts w:ascii="TimesNewRoman,Bold" w:hAnsi="TimesNewRoman,Bold" w:cs="TimesNewRoman,Bold"/>
      <w:bCs/>
      <w:lang w:val="ru-RU"/>
    </w:rPr>
  </w:style>
  <w:style w:type="character" w:styleId="ListLabel83">
    <w:name w:val="ListLabel 83"/>
    <w:qFormat/>
    <w:rPr>
      <w:rFonts w:eastAsia="Times New Roman"/>
      <w:u w:val="single"/>
      <w:lang w:val="ru-RU" w:eastAsia="ru-RU"/>
    </w:rPr>
  </w:style>
  <w:style w:type="character" w:styleId="ListLabel84">
    <w:name w:val="ListLabel 84"/>
    <w:qFormat/>
    <w:rPr>
      <w:rFonts w:eastAsia="Times New Roman"/>
      <w:color w:val="auto"/>
      <w:lang w:eastAsia="ru-RU"/>
    </w:rPr>
  </w:style>
  <w:style w:type="character" w:styleId="ListLabel85">
    <w:name w:val="ListLabel 85"/>
    <w:qFormat/>
    <w:rPr>
      <w:rFonts w:eastAsia="Times New Roman"/>
      <w:color w:val="auto"/>
      <w:lang w:val="ru-RU"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316f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8"/>
    <w:rsid w:val="007078eb"/>
    <w:pPr/>
    <w:rPr>
      <w:rFonts w:ascii="Arial" w:hAnsi="Arial" w:eastAsia="Times New Roman"/>
      <w:sz w:val="20"/>
      <w:szCs w:val="20"/>
      <w:lang w:val="en-GB" w:eastAsia="ru-RU"/>
    </w:rPr>
  </w:style>
  <w:style w:type="paragraph" w:styleId="DocDefaults" w:customStyle="1">
    <w:name w:val="DocDefaults"/>
    <w:qFormat/>
    <w:rsid w:val="009639b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7">
    <w:name w:val="Header"/>
    <w:basedOn w:val="Normal"/>
    <w:link w:val="ab"/>
    <w:uiPriority w:val="99"/>
    <w:unhideWhenUsed/>
    <w:rsid w:val="00f05b6c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d"/>
    <w:uiPriority w:val="99"/>
    <w:unhideWhenUsed/>
    <w:rsid w:val="00f05b6c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qFormat/>
    <w:rsid w:val="008a1303"/>
    <w:pPr>
      <w:tabs>
        <w:tab w:val="clear" w:pos="367"/>
        <w:tab w:val="left" w:pos="284" w:leader="none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BodyTextIndent2">
    <w:name w:val="Body Text Indent 2"/>
    <w:basedOn w:val="Normal"/>
    <w:link w:val="23"/>
    <w:uiPriority w:val="99"/>
    <w:unhideWhenUsed/>
    <w:qFormat/>
    <w:rsid w:val="008a1303"/>
    <w:pPr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dd7826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Леша11"/>
    <w:basedOn w:val="a1"/>
    <w:uiPriority w:val="59"/>
    <w:rsid w:val="005535b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ts-tender.ru/" TargetMode="External"/><Relationship Id="rId3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6" Type="http://schemas.openxmlformats.org/officeDocument/2006/relationships/hyperlink" Target="consultantplus://offline/ref=D54B536E147478390F4E00EB7DDC3F85EBB1AC050E3F505E03D970FC37B84872C1BD5795E2D383C8K856P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lot-online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D747A03-94DF-4847-82C8-C2ACCA9EC75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LibreOffice/6.2.8.2$Linux_X86_64 LibreOffice_project/20$Build-2</Application>
  <Pages>13</Pages>
  <Words>4170</Words>
  <Characters>29414</Characters>
  <CharactersWithSpaces>33477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2019-07-15T23:13:00Z</dcterms:created>
  <dc:creator>Лапина Ксения</dc:creator>
  <dc:description/>
  <dc:language>ru-RU</dc:language>
  <cp:lastModifiedBy/>
  <cp:lastPrinted>2020-07-13T14:55:53Z</cp:lastPrinted>
  <dcterms:modified xsi:type="dcterms:W3CDTF">2020-07-21T10:03:54Z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