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36FB" w14:textId="77777777" w:rsidR="00B32041" w:rsidRDefault="006978D2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40F1ECDE" wp14:editId="1C18E2BB">
            <wp:extent cx="638175" cy="904875"/>
            <wp:effectExtent l="0" t="0" r="9525" b="9525"/>
            <wp:docPr id="17" name="Рисунок 1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F925" w14:textId="77777777" w:rsidR="00B32041" w:rsidRDefault="00B32041">
      <w:pPr>
        <w:shd w:val="clear" w:color="auto" w:fill="FFFFFF"/>
        <w:jc w:val="center"/>
        <w:rPr>
          <w:color w:val="000000"/>
          <w:sz w:val="10"/>
        </w:rPr>
      </w:pPr>
    </w:p>
    <w:p w14:paraId="738008F5" w14:textId="77777777" w:rsidR="00B32041" w:rsidRDefault="006978D2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14:paraId="11E49D69" w14:textId="77777777" w:rsidR="00B32041" w:rsidRDefault="006978D2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0A77891C" w14:textId="77777777" w:rsidR="00B32041" w:rsidRDefault="006978D2">
      <w:pPr>
        <w:pStyle w:val="2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26D3A0FC" w14:textId="77777777" w:rsidR="00B32041" w:rsidRDefault="00B32041">
      <w:pPr>
        <w:shd w:val="clear" w:color="auto" w:fill="FFFFFF"/>
        <w:rPr>
          <w:sz w:val="16"/>
        </w:rPr>
      </w:pPr>
    </w:p>
    <w:p w14:paraId="1FD3A4A9" w14:textId="77777777" w:rsidR="00B32041" w:rsidRDefault="006978D2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1560BB51" w14:textId="77777777" w:rsidR="00B32041" w:rsidRDefault="00B32041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3AFED6B0" w14:textId="77777777" w:rsidR="00B32041" w:rsidRDefault="00B32041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D7EE39F" w14:textId="77777777" w:rsidR="00B32041" w:rsidRDefault="00B32041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67EF21C0" w14:textId="545804C1" w:rsidR="00B32041" w:rsidRDefault="006978D2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13.07.2022г      </w:t>
      </w:r>
      <w:r>
        <w:rPr>
          <w:rFonts w:ascii="Arial"/>
          <w:color w:val="000000"/>
        </w:rPr>
        <w:t xml:space="preserve">                             </w:t>
      </w:r>
      <w:r>
        <w:rPr>
          <w:rFonts w:ascii="Arial"/>
          <w:color w:val="000000"/>
        </w:rPr>
        <w:t>с</w:t>
      </w:r>
      <w:r>
        <w:rPr>
          <w:rFonts w:ascii="Arial"/>
          <w:color w:val="000000"/>
        </w:rPr>
        <w:t xml:space="preserve">. </w:t>
      </w:r>
      <w:r>
        <w:rPr>
          <w:rFonts w:ascii="Arial"/>
          <w:color w:val="000000"/>
        </w:rPr>
        <w:t>Анучино</w:t>
      </w:r>
      <w:r>
        <w:rPr>
          <w:rFonts w:ascii="Arial" w:hAnsi="Arial"/>
          <w:color w:val="000000"/>
        </w:rPr>
        <w:t xml:space="preserve">                                 </w:t>
      </w:r>
      <w:r>
        <w:rPr>
          <w:color w:val="000000"/>
        </w:rPr>
        <w:t>№    630</w:t>
      </w:r>
    </w:p>
    <w:p w14:paraId="5BEEBE88" w14:textId="77777777" w:rsidR="00B32041" w:rsidRDefault="00B32041">
      <w:pPr>
        <w:jc w:val="both"/>
        <w:rPr>
          <w:sz w:val="16"/>
          <w:szCs w:val="16"/>
        </w:rPr>
      </w:pPr>
    </w:p>
    <w:p w14:paraId="711043F1" w14:textId="77777777" w:rsidR="00B32041" w:rsidRDefault="006978D2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       </w:t>
      </w:r>
    </w:p>
    <w:p w14:paraId="180B5AE8" w14:textId="77777777" w:rsidR="00B32041" w:rsidRDefault="006978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sz w:val="28"/>
        </w:rPr>
        <w:t xml:space="preserve">Об </w:t>
      </w:r>
      <w:proofErr w:type="gramStart"/>
      <w:r>
        <w:rPr>
          <w:b/>
          <w:sz w:val="28"/>
        </w:rPr>
        <w:t>утверждении  Положения</w:t>
      </w:r>
      <w:proofErr w:type="gramEnd"/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о </w:t>
      </w:r>
      <w:proofErr w:type="spellStart"/>
      <w:r>
        <w:rPr>
          <w:b/>
          <w:bCs/>
          <w:sz w:val="28"/>
        </w:rPr>
        <w:t>муниципально</w:t>
      </w:r>
      <w:proofErr w:type="spellEnd"/>
      <w:r>
        <w:rPr>
          <w:b/>
          <w:bCs/>
          <w:sz w:val="28"/>
        </w:rPr>
        <w:t>-частном партнерстве в Анучинском  муниципальном округе</w:t>
      </w:r>
    </w:p>
    <w:p w14:paraId="06AB2E8E" w14:textId="77777777" w:rsidR="00B32041" w:rsidRDefault="00B3204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7025C0DE" w14:textId="77777777" w:rsidR="00B32041" w:rsidRDefault="006978D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14:paraId="73650932" w14:textId="77777777" w:rsidR="00B32041" w:rsidRDefault="006978D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целях регулирования взаимоотношений органов местного самоуправления и юридических лиц в рамках муниципального -частного партнёрства,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21.07.2005г. №115-ФЗ «О концессионных соглашениях», Федеральным законом от 13.07.2015 № 224-ФЗ «О государственно-частном партнерстве,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Федеральным законом  от 21.07.2015г. №115-ФЗ «О концессионных соглашениях», Уставом Анучинского </w:t>
      </w:r>
      <w:r>
        <w:rPr>
          <w:rFonts w:eastAsia="Calibri"/>
          <w:sz w:val="28"/>
        </w:rPr>
        <w:t>муниципального округа Приморского края, администрация Анучинского муниципального округа Приморского края</w:t>
      </w:r>
    </w:p>
    <w:p w14:paraId="061EA972" w14:textId="77777777" w:rsidR="00B32041" w:rsidRDefault="00B32041">
      <w:pPr>
        <w:spacing w:line="360" w:lineRule="auto"/>
        <w:jc w:val="both"/>
        <w:rPr>
          <w:rFonts w:eastAsia="Calibri"/>
          <w:sz w:val="28"/>
        </w:rPr>
      </w:pPr>
    </w:p>
    <w:p w14:paraId="61572BA4" w14:textId="77777777" w:rsidR="00B32041" w:rsidRDefault="006978D2">
      <w:pPr>
        <w:pStyle w:val="a0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ПОСТАНОВЛЯЕТ:</w:t>
      </w:r>
    </w:p>
    <w:p w14:paraId="68321961" w14:textId="77777777" w:rsidR="00B32041" w:rsidRDefault="00B32041">
      <w:pPr>
        <w:spacing w:line="360" w:lineRule="auto"/>
        <w:jc w:val="both"/>
        <w:rPr>
          <w:rFonts w:eastAsia="Calibri"/>
          <w:sz w:val="16"/>
          <w:szCs w:val="16"/>
        </w:rPr>
      </w:pPr>
    </w:p>
    <w:p w14:paraId="6504802B" w14:textId="77777777" w:rsidR="00B32041" w:rsidRDefault="006978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proofErr w:type="gramStart"/>
      <w:r>
        <w:rPr>
          <w:bCs/>
          <w:sz w:val="28"/>
        </w:rPr>
        <w:t>Утвердить  Положение</w:t>
      </w:r>
      <w:proofErr w:type="gramEnd"/>
      <w:r>
        <w:rPr>
          <w:bCs/>
          <w:sz w:val="28"/>
        </w:rPr>
        <w:t xml:space="preserve">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 в Анучинском  муниципальном округе, прилагается.</w:t>
      </w:r>
    </w:p>
    <w:p w14:paraId="78B5DAF8" w14:textId="77777777" w:rsidR="00B32041" w:rsidRDefault="00697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Считать утратившим </w:t>
      </w:r>
      <w:proofErr w:type="gramStart"/>
      <w:r>
        <w:rPr>
          <w:sz w:val="28"/>
        </w:rPr>
        <w:t>силу  постановление</w:t>
      </w:r>
      <w:proofErr w:type="gramEnd"/>
      <w:r>
        <w:rPr>
          <w:sz w:val="28"/>
        </w:rPr>
        <w:t xml:space="preserve"> администрации Анучинского муниципального района от 17.01.2018 г № 17 «Об утверждении  Положения о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 - частном партнерстве в Анучинском  муниципальном районе». </w:t>
      </w:r>
    </w:p>
    <w:p w14:paraId="739E44C4" w14:textId="77777777" w:rsidR="00B32041" w:rsidRDefault="006978D2">
      <w:pPr>
        <w:pStyle w:val="1"/>
        <w:numPr>
          <w:ilvl w:val="2"/>
          <w:numId w:val="2"/>
        </w:numPr>
        <w:spacing w:after="75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Анучинского муниципального округа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19C109F8" w14:textId="77777777" w:rsidR="00B32041" w:rsidRDefault="006978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14:paraId="1DA81ED3" w14:textId="77777777" w:rsidR="00B32041" w:rsidRDefault="006978D2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>5.  Контроль за исполнением настоящего постановления оставляю за собой.</w:t>
      </w:r>
    </w:p>
    <w:p w14:paraId="55B3532D" w14:textId="77777777" w:rsidR="00B32041" w:rsidRDefault="00B32041">
      <w:pPr>
        <w:spacing w:line="360" w:lineRule="auto"/>
        <w:jc w:val="both"/>
        <w:rPr>
          <w:rFonts w:eastAsia="Calibri"/>
          <w:bCs/>
          <w:sz w:val="28"/>
        </w:rPr>
      </w:pPr>
    </w:p>
    <w:p w14:paraId="5B8ACCF9" w14:textId="77777777" w:rsidR="00B32041" w:rsidRDefault="00B32041">
      <w:pPr>
        <w:rPr>
          <w:bCs/>
          <w:sz w:val="28"/>
        </w:rPr>
      </w:pPr>
    </w:p>
    <w:p w14:paraId="76E64E4F" w14:textId="77777777" w:rsidR="00B32041" w:rsidRDefault="006978D2">
      <w:pPr>
        <w:rPr>
          <w:bCs/>
          <w:sz w:val="28"/>
        </w:rPr>
      </w:pPr>
      <w:proofErr w:type="gramStart"/>
      <w:r>
        <w:rPr>
          <w:bCs/>
          <w:sz w:val="28"/>
        </w:rPr>
        <w:t>Глава  Анучинского</w:t>
      </w:r>
      <w:proofErr w:type="gramEnd"/>
      <w:r>
        <w:rPr>
          <w:bCs/>
          <w:sz w:val="28"/>
        </w:rPr>
        <w:t xml:space="preserve">                                                                                      муниципального округа                                                             С.А. </w:t>
      </w:r>
      <w:proofErr w:type="spellStart"/>
      <w:r>
        <w:rPr>
          <w:bCs/>
          <w:sz w:val="28"/>
        </w:rPr>
        <w:t>Понуровский</w:t>
      </w:r>
      <w:proofErr w:type="spellEnd"/>
    </w:p>
    <w:p w14:paraId="7C573571" w14:textId="77777777" w:rsidR="00B32041" w:rsidRDefault="00B32041">
      <w:pPr>
        <w:rPr>
          <w:bCs/>
          <w:sz w:val="28"/>
        </w:rPr>
      </w:pPr>
    </w:p>
    <w:p w14:paraId="38AA1CEC" w14:textId="77777777" w:rsidR="00B32041" w:rsidRDefault="00B32041">
      <w:pPr>
        <w:rPr>
          <w:bCs/>
          <w:sz w:val="28"/>
        </w:rPr>
      </w:pPr>
    </w:p>
    <w:p w14:paraId="712460B9" w14:textId="77777777" w:rsidR="00B32041" w:rsidRDefault="00B32041">
      <w:pPr>
        <w:rPr>
          <w:bCs/>
          <w:sz w:val="28"/>
        </w:rPr>
      </w:pPr>
    </w:p>
    <w:p w14:paraId="1B9F94FE" w14:textId="77777777" w:rsidR="00B32041" w:rsidRDefault="00B32041">
      <w:pPr>
        <w:rPr>
          <w:bCs/>
          <w:sz w:val="28"/>
        </w:rPr>
      </w:pPr>
    </w:p>
    <w:p w14:paraId="54238A72" w14:textId="77777777" w:rsidR="00B32041" w:rsidRDefault="00B32041">
      <w:pPr>
        <w:rPr>
          <w:bCs/>
          <w:sz w:val="28"/>
        </w:rPr>
      </w:pPr>
    </w:p>
    <w:p w14:paraId="72831DC3" w14:textId="77777777" w:rsidR="00B32041" w:rsidRDefault="00B32041">
      <w:pPr>
        <w:rPr>
          <w:bCs/>
          <w:sz w:val="28"/>
        </w:rPr>
      </w:pPr>
    </w:p>
    <w:p w14:paraId="2B19C6B0" w14:textId="77777777" w:rsidR="00B32041" w:rsidRDefault="00B32041">
      <w:pPr>
        <w:rPr>
          <w:bCs/>
          <w:sz w:val="28"/>
        </w:rPr>
      </w:pPr>
    </w:p>
    <w:p w14:paraId="16E829BA" w14:textId="77777777" w:rsidR="00B32041" w:rsidRDefault="00B32041">
      <w:pPr>
        <w:rPr>
          <w:bCs/>
          <w:sz w:val="28"/>
        </w:rPr>
      </w:pPr>
    </w:p>
    <w:p w14:paraId="63958B9A" w14:textId="77777777" w:rsidR="00B32041" w:rsidRDefault="00B32041">
      <w:pPr>
        <w:rPr>
          <w:bCs/>
          <w:sz w:val="28"/>
        </w:rPr>
      </w:pPr>
    </w:p>
    <w:p w14:paraId="7B197446" w14:textId="77777777" w:rsidR="00B32041" w:rsidRDefault="00B32041">
      <w:pPr>
        <w:rPr>
          <w:bCs/>
          <w:sz w:val="28"/>
        </w:rPr>
      </w:pPr>
    </w:p>
    <w:p w14:paraId="1A8E9FC3" w14:textId="77777777" w:rsidR="00B32041" w:rsidRDefault="00B32041">
      <w:pPr>
        <w:rPr>
          <w:bCs/>
          <w:sz w:val="28"/>
        </w:rPr>
      </w:pPr>
    </w:p>
    <w:p w14:paraId="6C93B8E7" w14:textId="77777777" w:rsidR="00B32041" w:rsidRDefault="00B32041">
      <w:pPr>
        <w:rPr>
          <w:bCs/>
          <w:sz w:val="28"/>
        </w:rPr>
      </w:pPr>
    </w:p>
    <w:p w14:paraId="7A29778A" w14:textId="77777777" w:rsidR="00B32041" w:rsidRDefault="00B32041">
      <w:pPr>
        <w:rPr>
          <w:bCs/>
          <w:sz w:val="28"/>
        </w:rPr>
      </w:pPr>
    </w:p>
    <w:p w14:paraId="23DBF2A1" w14:textId="77777777" w:rsidR="00B32041" w:rsidRDefault="00B32041">
      <w:pPr>
        <w:rPr>
          <w:bCs/>
          <w:sz w:val="28"/>
        </w:rPr>
      </w:pPr>
    </w:p>
    <w:p w14:paraId="47F7C9F4" w14:textId="77777777" w:rsidR="00B32041" w:rsidRDefault="00B32041">
      <w:pPr>
        <w:rPr>
          <w:bCs/>
          <w:sz w:val="28"/>
        </w:rPr>
      </w:pPr>
    </w:p>
    <w:p w14:paraId="080B69B7" w14:textId="77777777" w:rsidR="00B32041" w:rsidRDefault="00B32041">
      <w:pPr>
        <w:rPr>
          <w:bCs/>
          <w:sz w:val="28"/>
        </w:rPr>
      </w:pPr>
    </w:p>
    <w:p w14:paraId="38E33D50" w14:textId="77777777" w:rsidR="00B32041" w:rsidRDefault="00B32041">
      <w:pPr>
        <w:rPr>
          <w:bCs/>
          <w:sz w:val="28"/>
        </w:rPr>
      </w:pPr>
    </w:p>
    <w:p w14:paraId="00B409DF" w14:textId="77777777" w:rsidR="00B32041" w:rsidRDefault="00B32041">
      <w:pPr>
        <w:rPr>
          <w:bCs/>
          <w:sz w:val="28"/>
        </w:rPr>
      </w:pPr>
    </w:p>
    <w:p w14:paraId="15EB6164" w14:textId="77777777" w:rsidR="00B32041" w:rsidRDefault="00B32041">
      <w:pPr>
        <w:rPr>
          <w:bCs/>
          <w:sz w:val="28"/>
        </w:rPr>
      </w:pPr>
    </w:p>
    <w:p w14:paraId="020407B5" w14:textId="77777777" w:rsidR="00B32041" w:rsidRDefault="00B32041">
      <w:pPr>
        <w:rPr>
          <w:bCs/>
          <w:sz w:val="28"/>
        </w:rPr>
      </w:pPr>
    </w:p>
    <w:p w14:paraId="6FA86994" w14:textId="77777777" w:rsidR="00B32041" w:rsidRDefault="00B32041">
      <w:pPr>
        <w:rPr>
          <w:bCs/>
          <w:sz w:val="28"/>
        </w:rPr>
      </w:pPr>
    </w:p>
    <w:p w14:paraId="2AE74B84" w14:textId="77777777" w:rsidR="00B32041" w:rsidRDefault="00B32041">
      <w:pPr>
        <w:rPr>
          <w:bCs/>
          <w:sz w:val="28"/>
        </w:rPr>
      </w:pPr>
    </w:p>
    <w:p w14:paraId="0648D9C1" w14:textId="77777777" w:rsidR="00B32041" w:rsidRDefault="00B32041">
      <w:pPr>
        <w:rPr>
          <w:bCs/>
          <w:sz w:val="28"/>
        </w:rPr>
      </w:pPr>
    </w:p>
    <w:p w14:paraId="33D66993" w14:textId="77777777" w:rsidR="00B32041" w:rsidRDefault="00B32041">
      <w:pPr>
        <w:rPr>
          <w:bCs/>
          <w:sz w:val="28"/>
        </w:rPr>
      </w:pPr>
    </w:p>
    <w:p w14:paraId="439D098A" w14:textId="77777777" w:rsidR="00B32041" w:rsidRDefault="00B32041">
      <w:pPr>
        <w:rPr>
          <w:bCs/>
          <w:sz w:val="28"/>
        </w:rPr>
      </w:pPr>
    </w:p>
    <w:p w14:paraId="7A83C480" w14:textId="77777777" w:rsidR="00B32041" w:rsidRDefault="00B32041">
      <w:pPr>
        <w:rPr>
          <w:bCs/>
          <w:sz w:val="28"/>
        </w:rPr>
      </w:pPr>
    </w:p>
    <w:p w14:paraId="2C166CBF" w14:textId="77777777" w:rsidR="00B32041" w:rsidRDefault="006978D2">
      <w:pPr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735693CE" w14:textId="77777777" w:rsidR="00B32041" w:rsidRDefault="006978D2">
      <w:pPr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14:paraId="5B713D6C" w14:textId="77777777" w:rsidR="00B32041" w:rsidRDefault="006978D2">
      <w:pPr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 Приморского края</w:t>
      </w:r>
    </w:p>
    <w:p w14:paraId="224E2E2E" w14:textId="33C4099C" w:rsidR="00B32041" w:rsidRDefault="006978D2">
      <w:pPr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    13.07.22г № 630</w:t>
      </w:r>
    </w:p>
    <w:p w14:paraId="2C4E5B4D" w14:textId="77777777" w:rsidR="00B32041" w:rsidRDefault="00B3204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2"/>
      <w:bookmarkEnd w:id="0"/>
    </w:p>
    <w:p w14:paraId="5511627A" w14:textId="77777777" w:rsidR="00B32041" w:rsidRDefault="00B32041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16FBC36E" w14:textId="77777777" w:rsidR="00B32041" w:rsidRDefault="006978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14:paraId="53851605" w14:textId="77777777" w:rsidR="00B32041" w:rsidRDefault="006978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proofErr w:type="spellStart"/>
      <w:r>
        <w:rPr>
          <w:b/>
          <w:bCs/>
          <w:sz w:val="28"/>
        </w:rPr>
        <w:t>муниципально</w:t>
      </w:r>
      <w:proofErr w:type="spellEnd"/>
      <w:r>
        <w:rPr>
          <w:b/>
          <w:bCs/>
          <w:sz w:val="28"/>
        </w:rPr>
        <w:t xml:space="preserve">-частном партнерстве в Анучинском </w:t>
      </w:r>
    </w:p>
    <w:p w14:paraId="33AAAD76" w14:textId="77777777" w:rsidR="00B32041" w:rsidRDefault="006978D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муниципальном округе</w:t>
      </w:r>
    </w:p>
    <w:p w14:paraId="35CD5412" w14:textId="77777777" w:rsidR="00B32041" w:rsidRDefault="00B3204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211F05F7" w14:textId="77777777" w:rsidR="00B32041" w:rsidRDefault="006978D2">
      <w:pPr>
        <w:widowControl w:val="0"/>
        <w:ind w:firstLine="709"/>
        <w:jc w:val="center"/>
        <w:rPr>
          <w:bCs/>
          <w:sz w:val="28"/>
        </w:rPr>
      </w:pPr>
      <w:r>
        <w:rPr>
          <w:bCs/>
          <w:sz w:val="28"/>
        </w:rPr>
        <w:t>1. Общие положения</w:t>
      </w:r>
    </w:p>
    <w:p w14:paraId="3E349CE3" w14:textId="77777777" w:rsidR="00B32041" w:rsidRDefault="006978D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Положение «О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-частном партнерстве в Анучинском муниципальном округе» (далее – Положение) принято в целях обеспечения стабильных условий развития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</w:t>
      </w:r>
      <w:proofErr w:type="gramStart"/>
      <w:r>
        <w:rPr>
          <w:sz w:val="28"/>
        </w:rPr>
        <w:t>частного  партнерства</w:t>
      </w:r>
      <w:proofErr w:type="gramEnd"/>
      <w:r>
        <w:rPr>
          <w:sz w:val="28"/>
        </w:rPr>
        <w:t xml:space="preserve"> в Анучинском муниципальном округе, привлечения и эффективного использования муниципальных, частных ресурсов, включая материальные, финансовые, интеллектуальные, научно-технические ресурсы для социально-экономического развития Анучинского муниципального округа.</w:t>
      </w:r>
    </w:p>
    <w:p w14:paraId="0373873C" w14:textId="77777777" w:rsidR="00B32041" w:rsidRDefault="006978D2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Настоящее Положение определяет цели, задачи, принципы, формы участия, основания принятия решения об участии в </w:t>
      </w:r>
      <w:proofErr w:type="spellStart"/>
      <w:r>
        <w:rPr>
          <w:sz w:val="28"/>
          <w:shd w:val="clear" w:color="auto" w:fill="FFFFFF"/>
        </w:rPr>
        <w:t>муниципально</w:t>
      </w:r>
      <w:proofErr w:type="spellEnd"/>
      <w:r>
        <w:rPr>
          <w:sz w:val="28"/>
          <w:shd w:val="clear" w:color="auto" w:fill="FFFFFF"/>
        </w:rPr>
        <w:t xml:space="preserve">-частном партнерстве </w:t>
      </w:r>
      <w:r>
        <w:rPr>
          <w:sz w:val="28"/>
        </w:rPr>
        <w:t xml:space="preserve">Анучинского муниципального округа </w:t>
      </w:r>
      <w:r>
        <w:rPr>
          <w:sz w:val="28"/>
          <w:shd w:val="clear" w:color="auto" w:fill="FFFFFF"/>
        </w:rPr>
        <w:t xml:space="preserve">и порядок заключения соглашения о </w:t>
      </w:r>
      <w:proofErr w:type="spellStart"/>
      <w:r>
        <w:rPr>
          <w:sz w:val="28"/>
          <w:shd w:val="clear" w:color="auto" w:fill="FFFFFF"/>
        </w:rPr>
        <w:t>муниципально</w:t>
      </w:r>
      <w:proofErr w:type="spellEnd"/>
      <w:r>
        <w:rPr>
          <w:sz w:val="28"/>
          <w:shd w:val="clear" w:color="auto" w:fill="FFFFFF"/>
        </w:rPr>
        <w:t>-частном партнерстве.</w:t>
      </w:r>
    </w:p>
    <w:p w14:paraId="0217C950" w14:textId="77777777" w:rsidR="00B32041" w:rsidRDefault="006978D2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Положение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21.07.2005г. № 115-ФЗ «О концессионных соглашениях», Федеральным законом от 13.07.2015г. № 224-ФЗ «О государственно-частном партнерстве,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14:paraId="6592C499" w14:textId="77777777" w:rsidR="00B32041" w:rsidRDefault="00B32041">
      <w:pPr>
        <w:widowControl w:val="0"/>
        <w:ind w:firstLine="709"/>
        <w:jc w:val="both"/>
        <w:rPr>
          <w:sz w:val="28"/>
        </w:rPr>
      </w:pPr>
    </w:p>
    <w:p w14:paraId="4A8D06D0" w14:textId="77777777" w:rsidR="00B32041" w:rsidRDefault="006978D2">
      <w:pPr>
        <w:widowControl w:val="0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2.Основные цели и задачи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-частного партнерства</w:t>
      </w:r>
    </w:p>
    <w:p w14:paraId="1F4B3341" w14:textId="77777777" w:rsidR="00B32041" w:rsidRDefault="00B32041">
      <w:pPr>
        <w:widowControl w:val="0"/>
        <w:jc w:val="both"/>
        <w:rPr>
          <w:bCs/>
          <w:sz w:val="28"/>
        </w:rPr>
      </w:pPr>
    </w:p>
    <w:p w14:paraId="22FA085A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2.1. Целями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-частного партнерства в Анучинском муниципальном округе</w:t>
      </w:r>
      <w:r>
        <w:rPr>
          <w:sz w:val="28"/>
          <w:shd w:val="clear" w:color="auto" w:fill="FFFFFF"/>
        </w:rPr>
        <w:t xml:space="preserve"> </w:t>
      </w:r>
      <w:r>
        <w:rPr>
          <w:sz w:val="28"/>
        </w:rPr>
        <w:t>являются:</w:t>
      </w:r>
    </w:p>
    <w:p w14:paraId="6D1F1FF6" w14:textId="77777777" w:rsidR="00B32041" w:rsidRDefault="006978D2">
      <w:pPr>
        <w:pStyle w:val="aa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14:paraId="5E1A1434" w14:textId="77777777" w:rsidR="00B32041" w:rsidRDefault="006978D2">
      <w:pPr>
        <w:pStyle w:val="aa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обеспечение эффективности использования имущества, находящегося в муниципальной собственности Анучинского муниципального округа.</w:t>
      </w:r>
    </w:p>
    <w:p w14:paraId="29860834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2.2. Задачами участия публичного партнера в проектах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-частного партнерства являются:</w:t>
      </w:r>
    </w:p>
    <w:p w14:paraId="15F5694B" w14:textId="77777777" w:rsidR="00B32041" w:rsidRDefault="0069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создание дополнительных условий привлечения в экономику Анучинского муниципального округа частных инвестиций на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14:paraId="02D510C8" w14:textId="77777777" w:rsidR="00B32041" w:rsidRDefault="0069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эффективности использования имущества Анучинского округа;</w:t>
      </w:r>
    </w:p>
    <w:p w14:paraId="42F1746A" w14:textId="77777777" w:rsidR="00B32041" w:rsidRDefault="006978D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инновационной экономики, техническое и технологическое развитие общественно значимых производств на территории Анучинского округа;</w:t>
      </w:r>
    </w:p>
    <w:p w14:paraId="440BE359" w14:textId="77777777" w:rsidR="00B32041" w:rsidRDefault="006978D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повышение уровня занятости населения Анучинского округа;</w:t>
      </w:r>
    </w:p>
    <w:p w14:paraId="171D99D6" w14:textId="77777777" w:rsidR="00B32041" w:rsidRDefault="006978D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малого и среднего предпринимательства на территории Анучинского округа;</w:t>
      </w:r>
    </w:p>
    <w:p w14:paraId="65A36BAD" w14:textId="77777777" w:rsidR="00B32041" w:rsidRDefault="006978D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эффективное использование средств бюджета района.</w:t>
      </w:r>
    </w:p>
    <w:p w14:paraId="4966A9E2" w14:textId="77777777" w:rsidR="00B32041" w:rsidRDefault="00B32041">
      <w:pPr>
        <w:widowControl w:val="0"/>
        <w:ind w:firstLine="709"/>
        <w:jc w:val="both"/>
        <w:rPr>
          <w:sz w:val="28"/>
        </w:rPr>
      </w:pPr>
    </w:p>
    <w:p w14:paraId="02901B5F" w14:textId="77777777" w:rsidR="00B32041" w:rsidRDefault="006978D2">
      <w:pPr>
        <w:widowControl w:val="0"/>
        <w:jc w:val="center"/>
        <w:rPr>
          <w:sz w:val="28"/>
          <w:shd w:val="clear" w:color="auto" w:fill="FFFFFF"/>
        </w:rPr>
      </w:pPr>
      <w:r>
        <w:rPr>
          <w:bCs/>
          <w:sz w:val="28"/>
        </w:rPr>
        <w:t xml:space="preserve">3. Принципы участия </w:t>
      </w:r>
      <w:r>
        <w:rPr>
          <w:sz w:val="28"/>
        </w:rPr>
        <w:t>Анучинского муниципального округа</w:t>
      </w:r>
      <w:r>
        <w:rPr>
          <w:sz w:val="28"/>
          <w:shd w:val="clear" w:color="auto" w:fill="FFFFFF"/>
        </w:rPr>
        <w:t xml:space="preserve"> </w:t>
      </w:r>
    </w:p>
    <w:p w14:paraId="6D76BDF0" w14:textId="77777777" w:rsidR="00B32041" w:rsidRDefault="006978D2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 xml:space="preserve">в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</w:t>
      </w:r>
    </w:p>
    <w:p w14:paraId="7F618364" w14:textId="77777777" w:rsidR="00B32041" w:rsidRDefault="00B32041">
      <w:pPr>
        <w:widowControl w:val="0"/>
        <w:jc w:val="center"/>
        <w:rPr>
          <w:bCs/>
          <w:sz w:val="28"/>
        </w:rPr>
      </w:pPr>
    </w:p>
    <w:p w14:paraId="5AFA9720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bCs/>
          <w:sz w:val="28"/>
        </w:rPr>
        <w:t xml:space="preserve">3.1 </w:t>
      </w:r>
      <w:r>
        <w:rPr>
          <w:sz w:val="28"/>
        </w:rPr>
        <w:t>Участие Анучинского муниципального округа</w:t>
      </w:r>
      <w:r>
        <w:rPr>
          <w:sz w:val="28"/>
          <w:shd w:val="clear" w:color="auto" w:fill="FFFFFF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 основывается на принципах:</w:t>
      </w:r>
    </w:p>
    <w:p w14:paraId="5A8493F2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1) открытости и доступности информации о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14:paraId="2B2C8547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2) обеспечения конкуренции;</w:t>
      </w:r>
    </w:p>
    <w:p w14:paraId="6601D0E1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3) отсутствия дискриминации, равноправия сторон соглашения и равенства их перед законом;</w:t>
      </w:r>
    </w:p>
    <w:p w14:paraId="6EB72AA4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4) добросовестного исполнения сторонами соглашения обязательств по соглашению;</w:t>
      </w:r>
    </w:p>
    <w:p w14:paraId="03EBCCCB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5) справедливого распределения рисков и обязательств между сторонами соглашения;</w:t>
      </w:r>
    </w:p>
    <w:p w14:paraId="081C3AED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6) соблюдения прав и законных интересов публичного партнера и частного партнера;</w:t>
      </w:r>
    </w:p>
    <w:p w14:paraId="3E0D4BE6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7) приоритетности исполнения обязательств, принятых на себя публичным партнером и частным партнером.</w:t>
      </w:r>
    </w:p>
    <w:p w14:paraId="1F257A11" w14:textId="77777777" w:rsidR="00B32041" w:rsidRDefault="00B32041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14:paraId="7BC8AAE6" w14:textId="77777777" w:rsidR="00B32041" w:rsidRDefault="006978D2">
      <w:pPr>
        <w:widowControl w:val="0"/>
        <w:jc w:val="center"/>
        <w:rPr>
          <w:sz w:val="28"/>
          <w:shd w:val="clear" w:color="auto" w:fill="FFFFFF"/>
        </w:rPr>
      </w:pPr>
      <w:r>
        <w:rPr>
          <w:sz w:val="28"/>
        </w:rPr>
        <w:t>4. Формы участия Анучинского муниципального округа</w:t>
      </w:r>
    </w:p>
    <w:p w14:paraId="5C5139C1" w14:textId="77777777" w:rsidR="00B32041" w:rsidRDefault="006978D2">
      <w:pPr>
        <w:widowControl w:val="0"/>
        <w:jc w:val="center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</w:t>
      </w:r>
    </w:p>
    <w:p w14:paraId="33219939" w14:textId="77777777" w:rsidR="00B32041" w:rsidRDefault="00B32041">
      <w:pPr>
        <w:widowControl w:val="0"/>
        <w:jc w:val="center"/>
        <w:rPr>
          <w:sz w:val="28"/>
        </w:rPr>
      </w:pPr>
    </w:p>
    <w:p w14:paraId="2B000011" w14:textId="77777777" w:rsidR="00B32041" w:rsidRDefault="006978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4.1. Участие Анучинского муниципального округа</w:t>
      </w:r>
      <w:r>
        <w:rPr>
          <w:sz w:val="28"/>
          <w:shd w:val="clear" w:color="auto" w:fill="FFFFFF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-частном партнерстве осуществляется в соответствии с действующим законодательством в следующих формах:</w:t>
      </w:r>
    </w:p>
    <w:p w14:paraId="3A0F5648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вовлечение в инвестиционный процесс имущества, находящегося в собственности района;</w:t>
      </w:r>
    </w:p>
    <w:p w14:paraId="796DD448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реализация инвестиционных проектов, в том числе инвестиционных проектов местного значения;</w:t>
      </w:r>
    </w:p>
    <w:p w14:paraId="0575BCFB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концессионные соглашения;</w:t>
      </w:r>
    </w:p>
    <w:p w14:paraId="10DF8F2D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4) соглашения о сотрудничестве и взаимодействии в сфере социально-экономического развития района;</w:t>
      </w:r>
    </w:p>
    <w:p w14:paraId="6B846858" w14:textId="77777777" w:rsidR="00B32041" w:rsidRDefault="006978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5) в иных формах, не противоречащих действующему </w:t>
      </w:r>
      <w:r>
        <w:rPr>
          <w:sz w:val="28"/>
        </w:rPr>
        <w:lastRenderedPageBreak/>
        <w:t>законодательству.</w:t>
      </w:r>
    </w:p>
    <w:p w14:paraId="51A3DE3F" w14:textId="77777777" w:rsidR="00B32041" w:rsidRDefault="00B32041">
      <w:pPr>
        <w:widowControl w:val="0"/>
        <w:ind w:firstLine="709"/>
        <w:jc w:val="both"/>
        <w:rPr>
          <w:sz w:val="28"/>
        </w:rPr>
      </w:pPr>
    </w:p>
    <w:p w14:paraId="1691EE7B" w14:textId="77777777" w:rsidR="00B32041" w:rsidRDefault="006978D2">
      <w:pPr>
        <w:widowControl w:val="0"/>
        <w:numPr>
          <w:ilvl w:val="0"/>
          <w:numId w:val="5"/>
        </w:numPr>
        <w:jc w:val="center"/>
        <w:rPr>
          <w:sz w:val="28"/>
        </w:rPr>
      </w:pPr>
      <w:r>
        <w:rPr>
          <w:sz w:val="28"/>
        </w:rPr>
        <w:t xml:space="preserve">Формы муниципальной поддержки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-частного партнерства в Анучинском муниципальном округе</w:t>
      </w:r>
    </w:p>
    <w:p w14:paraId="7776A51E" w14:textId="77777777" w:rsidR="00B32041" w:rsidRDefault="00B32041">
      <w:pPr>
        <w:widowControl w:val="0"/>
        <w:jc w:val="both"/>
        <w:rPr>
          <w:sz w:val="28"/>
        </w:rPr>
      </w:pPr>
    </w:p>
    <w:p w14:paraId="1DA97832" w14:textId="77777777" w:rsidR="00B32041" w:rsidRDefault="006978D2">
      <w:pPr>
        <w:widowControl w:val="0"/>
        <w:numPr>
          <w:ilvl w:val="1"/>
          <w:numId w:val="5"/>
        </w:numPr>
        <w:jc w:val="center"/>
        <w:rPr>
          <w:sz w:val="28"/>
        </w:rPr>
      </w:pPr>
      <w:r>
        <w:rPr>
          <w:sz w:val="28"/>
        </w:rPr>
        <w:t xml:space="preserve">Муниципальная поддержка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-частного партнерства в Анучинском муниципальном </w:t>
      </w:r>
      <w:proofErr w:type="gramStart"/>
      <w:r>
        <w:rPr>
          <w:sz w:val="28"/>
        </w:rPr>
        <w:t>округе  может</w:t>
      </w:r>
      <w:proofErr w:type="gramEnd"/>
      <w:r>
        <w:rPr>
          <w:sz w:val="28"/>
        </w:rPr>
        <w:t xml:space="preserve"> осуществляться в соответствии с</w:t>
      </w:r>
    </w:p>
    <w:p w14:paraId="0974D93B" w14:textId="77777777" w:rsidR="00B32041" w:rsidRDefault="006978D2">
      <w:pPr>
        <w:widowControl w:val="0"/>
        <w:jc w:val="both"/>
        <w:rPr>
          <w:sz w:val="28"/>
        </w:rPr>
      </w:pPr>
      <w:r>
        <w:rPr>
          <w:sz w:val="28"/>
        </w:rPr>
        <w:t>действующим законодательством, в следующих формах:</w:t>
      </w:r>
    </w:p>
    <w:p w14:paraId="62BE4F59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предоставление налоговых льгот;</w:t>
      </w:r>
    </w:p>
    <w:p w14:paraId="39F6FBE6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предоставление бюджетных инвестиций;</w:t>
      </w:r>
    </w:p>
    <w:p w14:paraId="532A75FA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предоставление льгот по аренде имущества, являющегося муниципальной собственностью;</w:t>
      </w:r>
    </w:p>
    <w:p w14:paraId="1EFCE658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4) предоставление залоговой поддержки;</w:t>
      </w:r>
    </w:p>
    <w:p w14:paraId="671D6E5F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5) предоставление инвестиций в уставный капитал;</w:t>
      </w:r>
    </w:p>
    <w:p w14:paraId="6F201963" w14:textId="77777777" w:rsidR="00B32041" w:rsidRDefault="006978D2">
      <w:pPr>
        <w:widowControl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6) информационная и консультационная поддержка.</w:t>
      </w:r>
    </w:p>
    <w:p w14:paraId="3D7AD3DD" w14:textId="77777777" w:rsidR="00B32041" w:rsidRDefault="00B32041">
      <w:pPr>
        <w:widowControl w:val="0"/>
        <w:ind w:firstLine="709"/>
        <w:jc w:val="both"/>
        <w:rPr>
          <w:sz w:val="28"/>
        </w:rPr>
      </w:pPr>
    </w:p>
    <w:p w14:paraId="2C1EAA84" w14:textId="77777777" w:rsidR="00B32041" w:rsidRDefault="006978D2">
      <w:pPr>
        <w:pStyle w:val="aa"/>
        <w:jc w:val="center"/>
        <w:rPr>
          <w:color w:val="000000"/>
          <w:sz w:val="27"/>
          <w:szCs w:val="27"/>
        </w:rPr>
      </w:pPr>
      <w:r w:rsidRPr="006978D2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Стороны соглашения</w:t>
      </w:r>
    </w:p>
    <w:p w14:paraId="2F804CA4" w14:textId="77777777" w:rsidR="00B32041" w:rsidRDefault="006978D2">
      <w:pPr>
        <w:pStyle w:val="aa"/>
        <w:rPr>
          <w:color w:val="000000"/>
          <w:sz w:val="27"/>
          <w:szCs w:val="27"/>
        </w:rPr>
      </w:pPr>
      <w:r w:rsidRPr="006978D2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.1. Сторонами соглашения </w:t>
      </w:r>
      <w:proofErr w:type="spellStart"/>
      <w:r>
        <w:rPr>
          <w:color w:val="000000"/>
          <w:sz w:val="27"/>
          <w:szCs w:val="27"/>
        </w:rPr>
        <w:t>муниципально-частнго</w:t>
      </w:r>
      <w:proofErr w:type="spellEnd"/>
      <w:r>
        <w:rPr>
          <w:color w:val="000000"/>
          <w:sz w:val="27"/>
          <w:szCs w:val="27"/>
        </w:rPr>
        <w:t xml:space="preserve"> партнерства являются публичный партнер и частный партнер.</w:t>
      </w:r>
    </w:p>
    <w:p w14:paraId="6808FC61" w14:textId="77777777" w:rsidR="00B32041" w:rsidRDefault="006978D2">
      <w:pPr>
        <w:pStyle w:val="aa"/>
        <w:rPr>
          <w:color w:val="000000"/>
          <w:sz w:val="27"/>
          <w:szCs w:val="27"/>
        </w:rPr>
      </w:pPr>
      <w:r w:rsidRPr="006978D2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.2. Не могут являться частными партнерами, а также участвовать на стороне частного партнера следующие юридические лица:</w:t>
      </w:r>
    </w:p>
    <w:p w14:paraId="3BC6F60C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государственные и муниципальные унитарные предприятия;</w:t>
      </w:r>
    </w:p>
    <w:p w14:paraId="5AD9F7E9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государственные и муниципальные учреждения;</w:t>
      </w:r>
    </w:p>
    <w:p w14:paraId="77087F68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14:paraId="1C0CA9DA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14:paraId="2CDCC76B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дочерние хозяйственные общества, находящиеся под контролем указанных в пунктах 1 - 4 настоящей части организаций;</w:t>
      </w:r>
    </w:p>
    <w:p w14:paraId="2CDB28B1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14:paraId="6EB4D974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некоммерческие организации, созданные указанными в пунктах 1 - 6</w:t>
      </w:r>
    </w:p>
    <w:p w14:paraId="2B071819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настоящей части организациями в форме фондов.</w:t>
      </w:r>
    </w:p>
    <w:p w14:paraId="4A3452B8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Частный партнер должен соответствовать следующим требованиям:</w:t>
      </w:r>
    </w:p>
    <w:p w14:paraId="54563C4D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не 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14:paraId="0B543F8D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об административных правонарушениях Российской Федерации, на день представления заявки на участие в конкурсе;</w:t>
      </w:r>
    </w:p>
    <w:p w14:paraId="3A16B514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14:paraId="142D843B" w14:textId="77777777" w:rsidR="00B32041" w:rsidRDefault="006978D2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14:paraId="3136753F" w14:textId="77777777" w:rsidR="00B32041" w:rsidRDefault="006978D2">
      <w:pPr>
        <w:pStyle w:val="aa"/>
        <w:jc w:val="center"/>
        <w:rPr>
          <w:sz w:val="28"/>
        </w:rPr>
      </w:pPr>
      <w:r>
        <w:rPr>
          <w:sz w:val="28"/>
        </w:rPr>
        <w:t>7.Объекты соглашения</w:t>
      </w:r>
    </w:p>
    <w:p w14:paraId="113CB301" w14:textId="77777777" w:rsidR="00B32041" w:rsidRDefault="006978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7.1. Объектом соглашения могут являться:</w:t>
      </w:r>
    </w:p>
    <w:p w14:paraId="60ABDAEB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1) </w:t>
      </w:r>
      <w:hyperlink r:id="rId9" w:history="1">
        <w:r>
          <w:rPr>
            <w:color w:val="0000FF"/>
            <w:sz w:val="28"/>
            <w:szCs w:val="24"/>
          </w:rPr>
          <w:t>частные</w:t>
        </w:r>
      </w:hyperlink>
      <w:r>
        <w:rPr>
          <w:sz w:val="28"/>
          <w:szCs w:val="24"/>
        </w:rPr>
        <w:t xml:space="preserve">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14:paraId="3BFA53FF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2)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метрополитена;</w:t>
      </w:r>
    </w:p>
    <w:p w14:paraId="0D752353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3) объекты железнодорожного транспорта;</w:t>
      </w:r>
    </w:p>
    <w:p w14:paraId="61D8D7C7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4) объекты трубопроводного транспорта;</w:t>
      </w:r>
    </w:p>
    <w:p w14:paraId="56DAE913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14:paraId="272C5A71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lastRenderedPageBreak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14:paraId="6B96610A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7)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14:paraId="03159B1F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8) объекты по производству, передаче и распределению электрической энергии;</w:t>
      </w:r>
    </w:p>
    <w:p w14:paraId="6EECA9AF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9) гидротехнические сооружения, стационарные и (или) плавучие платформы, искусственные острова;</w:t>
      </w:r>
    </w:p>
    <w:p w14:paraId="08368BFA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14:paraId="2FA4A181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14:paraId="59D4A7BB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14:paraId="4E3390EB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13) 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отходов;</w:t>
      </w:r>
    </w:p>
    <w:p w14:paraId="2B4B5500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14) объекты благоустройства территорий, в том числе для их освещения;</w:t>
      </w:r>
    </w:p>
    <w:p w14:paraId="04089B60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14:paraId="593D5218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10" w:history="1">
        <w:r>
          <w:rPr>
            <w:color w:val="0000FF"/>
            <w:sz w:val="28"/>
            <w:szCs w:val="24"/>
          </w:rPr>
          <w:t>критериям</w:t>
        </w:r>
      </w:hyperlink>
      <w:r>
        <w:rPr>
          <w:sz w:val="28"/>
          <w:szCs w:val="24"/>
        </w:rPr>
        <w:t>, установленным Правительством Российской Федерации;</w:t>
      </w:r>
    </w:p>
    <w:p w14:paraId="2083409B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17) объекты охотничьей инфраструктуры;</w:t>
      </w:r>
    </w:p>
    <w:p w14:paraId="665244A3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lastRenderedPageBreak/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14:paraId="7D20023E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14:paraId="50030D58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14:paraId="2023B686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опьянения;</w:t>
      </w:r>
    </w:p>
    <w:p w14:paraId="151DE615" w14:textId="77777777" w:rsidR="00B32041" w:rsidRDefault="006978D2">
      <w:pPr>
        <w:spacing w:before="280"/>
        <w:ind w:firstLine="540"/>
        <w:rPr>
          <w:sz w:val="28"/>
          <w:szCs w:val="24"/>
        </w:rPr>
      </w:pPr>
      <w:r>
        <w:rPr>
          <w:sz w:val="28"/>
          <w:szCs w:val="24"/>
        </w:rPr>
        <w:t>22) объекты, предназначенные для размещения приютов для животных.</w:t>
      </w:r>
    </w:p>
    <w:p w14:paraId="37107E55" w14:textId="77777777" w:rsidR="00B32041" w:rsidRDefault="00B32041">
      <w:pPr>
        <w:ind w:firstLine="708"/>
        <w:rPr>
          <w:bCs/>
          <w:sz w:val="28"/>
          <w:szCs w:val="24"/>
        </w:rPr>
      </w:pPr>
    </w:p>
    <w:p w14:paraId="0ECB6065" w14:textId="77777777" w:rsidR="00B32041" w:rsidRDefault="006978D2">
      <w:pPr>
        <w:ind w:firstLine="708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7.2. Объектом соглашения из перечня указанных в </w:t>
      </w:r>
      <w:hyperlink r:id="rId11" w:history="1">
        <w:r>
          <w:rPr>
            <w:bCs/>
            <w:color w:val="0000FF"/>
            <w:sz w:val="28"/>
            <w:szCs w:val="24"/>
          </w:rPr>
          <w:t xml:space="preserve"> п. 6.1</w:t>
        </w:r>
      </w:hyperlink>
      <w:r>
        <w:rPr>
          <w:bCs/>
          <w:sz w:val="28"/>
          <w:szCs w:val="24"/>
        </w:rPr>
        <w:t xml:space="preserve"> настоящего  положения 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14:paraId="2B3DAA2E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7.3. Соглашение может быть заключено в отношении нескольких объектов соглашений, указанных в </w:t>
      </w:r>
      <w:hyperlink r:id="rId12" w:history="1">
        <w:r>
          <w:rPr>
            <w:bCs/>
            <w:sz w:val="28"/>
            <w:szCs w:val="24"/>
          </w:rPr>
          <w:t>п.</w:t>
        </w:r>
        <w:r>
          <w:rPr>
            <w:bCs/>
            <w:color w:val="0000FF"/>
            <w:sz w:val="28"/>
            <w:szCs w:val="24"/>
          </w:rPr>
          <w:t xml:space="preserve"> 6.1</w:t>
        </w:r>
      </w:hyperlink>
      <w:r>
        <w:rPr>
          <w:bCs/>
          <w:sz w:val="28"/>
          <w:szCs w:val="24"/>
        </w:rPr>
        <w:t xml:space="preserve"> настоящего Положения.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14:paraId="77B675FB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14:paraId="2DD92522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 xml:space="preserve">7.4.1.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</w:t>
      </w:r>
      <w:hyperlink r:id="rId13" w:history="1">
        <w:r>
          <w:rPr>
            <w:bCs/>
            <w:color w:val="0000FF"/>
            <w:sz w:val="28"/>
            <w:szCs w:val="24"/>
          </w:rPr>
          <w:t>частью 1 статьи 12</w:t>
        </w:r>
      </w:hyperlink>
      <w:r>
        <w:rPr>
          <w:bCs/>
          <w:sz w:val="28"/>
          <w:szCs w:val="24"/>
        </w:rPr>
        <w:t xml:space="preserve"> настоящего Федерального закона (за исключением случая, если соглашение заключается в отношении объекта, предусмотренного </w:t>
      </w:r>
      <w:hyperlink r:id="rId14" w:history="1">
        <w:r>
          <w:rPr>
            <w:bCs/>
            <w:color w:val="0000FF"/>
            <w:sz w:val="28"/>
            <w:szCs w:val="24"/>
          </w:rPr>
          <w:t>пунктом 19 части 1</w:t>
        </w:r>
      </w:hyperlink>
      <w:r>
        <w:rPr>
          <w:bCs/>
          <w:sz w:val="28"/>
          <w:szCs w:val="24"/>
        </w:rPr>
        <w:t xml:space="preserve"> настоящей статьи).</w:t>
      </w:r>
    </w:p>
    <w:p w14:paraId="7E724212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14:paraId="005D99A4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14:paraId="21DBC7AD" w14:textId="77777777" w:rsidR="00B32041" w:rsidRDefault="006978D2">
      <w:pPr>
        <w:spacing w:before="280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7.7.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14:paraId="0787F9F1" w14:textId="77777777" w:rsidR="00B32041" w:rsidRDefault="00B32041">
      <w:pPr>
        <w:widowControl w:val="0"/>
        <w:ind w:firstLine="709"/>
        <w:jc w:val="center"/>
        <w:rPr>
          <w:bCs/>
          <w:sz w:val="28"/>
        </w:rPr>
      </w:pPr>
    </w:p>
    <w:p w14:paraId="068C35FF" w14:textId="77777777" w:rsidR="00B32041" w:rsidRDefault="006978D2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8.Заключение соглашения</w:t>
      </w:r>
    </w:p>
    <w:p w14:paraId="4C0027E4" w14:textId="77777777" w:rsidR="00B32041" w:rsidRDefault="00B32041">
      <w:pPr>
        <w:widowControl w:val="0"/>
        <w:jc w:val="both"/>
        <w:rPr>
          <w:bCs/>
          <w:sz w:val="28"/>
        </w:rPr>
      </w:pPr>
    </w:p>
    <w:p w14:paraId="3D072EC5" w14:textId="77777777" w:rsidR="00B32041" w:rsidRDefault="006978D2">
      <w:pPr>
        <w:widowControl w:val="0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8.1. В случае если инициатором проекта </w:t>
      </w:r>
      <w:proofErr w:type="gramStart"/>
      <w:r>
        <w:rPr>
          <w:bCs/>
          <w:sz w:val="28"/>
        </w:rPr>
        <w:t>выступает  муниципальный</w:t>
      </w:r>
      <w:proofErr w:type="gramEnd"/>
      <w:r>
        <w:rPr>
          <w:bCs/>
          <w:sz w:val="28"/>
        </w:rPr>
        <w:t xml:space="preserve"> округ, то он обеспечивает разработку предложения о реализации проекта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-частного партнерства.</w:t>
      </w:r>
    </w:p>
    <w:p w14:paraId="579A0658" w14:textId="77777777" w:rsidR="00B32041" w:rsidRDefault="006978D2">
      <w:pPr>
        <w:widowControl w:val="0"/>
        <w:tabs>
          <w:tab w:val="left" w:pos="1134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8.2. Предложение от юридических лиц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 (далее - предложение) направляется в администрацию Анучинского муниципального округа.</w:t>
      </w:r>
    </w:p>
    <w:p w14:paraId="4AF24272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 Администрация Анучинского муниципального округа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14:paraId="4AEBFF82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bCs/>
          <w:sz w:val="28"/>
          <w:szCs w:val="28"/>
        </w:rPr>
        <w:t>8.4. Инициатор проекта в срок, не превышающий 5 рабочих дней со дня поступления уведомления о проведении переговоров, сооб</w:t>
      </w:r>
      <w:r>
        <w:rPr>
          <w:rFonts w:ascii="Times New Roman" w:hAnsi="Times New Roman" w:cs="Times New Roman"/>
          <w:sz w:val="28"/>
          <w:szCs w:val="28"/>
        </w:rPr>
        <w:t xml:space="preserve">щает об участии в переговорах или об отказе от участия в переговорах. </w:t>
      </w:r>
    </w:p>
    <w:p w14:paraId="5AB5EDE0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 В случае если инициатор проекта отказался от участия в переговорах или не направили уведомления об участии в переговорах в срок, не превышающий 5 рабочих дней, администрация Анучинского муниципального округа оставляет предложение о реализации проекта без рассмотрения, о чем в письменной форме уведомляет инициатора проекта.</w:t>
      </w:r>
    </w:p>
    <w:p w14:paraId="10738770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14:paraId="3B1F9E18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Администрация Анучинского муниципального округа рассматривает предложение о реализации проекта и в срок, не превышающий девяноста дней со дня поступления предложения, принимает одно из следующих решений:</w:t>
      </w:r>
    </w:p>
    <w:p w14:paraId="4700C05B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проект в орган исполнительной власти Приморского края для оценки эффективности проекта и определения его сравнительного преимущества;</w:t>
      </w:r>
    </w:p>
    <w:p w14:paraId="02E04166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отклонить предложение о реализации проекта с указанием причин невозможности реализации проекта.</w:t>
      </w:r>
    </w:p>
    <w:p w14:paraId="70398D77" w14:textId="77777777" w:rsidR="00B32041" w:rsidRDefault="006978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8.7.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14:paraId="6AF4FCE6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При принятии решения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определяются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14:paraId="5396FF43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Обязательными элементами соглашения являются:</w:t>
      </w:r>
    </w:p>
    <w:p w14:paraId="62CB82FB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(или) реконструкция (далее также - создание) объекта соглашения частным партнером;</w:t>
      </w:r>
    </w:p>
    <w:p w14:paraId="346CC8A0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14:paraId="4C597C1D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14:paraId="1FFB4425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возникновение у частного партнера права собственности на объект соглашения при условии обременения объекта соглашения. </w:t>
      </w:r>
    </w:p>
    <w:p w14:paraId="05721098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соглашение в целях определения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могут быть также включены следующие элементы:</w:t>
      </w:r>
    </w:p>
    <w:p w14:paraId="03F33FD5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проектирование частным партнером объекта соглашения;</w:t>
      </w:r>
    </w:p>
    <w:p w14:paraId="25E49317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14:paraId="4CEBA27C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14:paraId="06C553AE" w14:textId="77777777" w:rsidR="00B32041" w:rsidRDefault="00697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 частного партнера обязательства по передаче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14:paraId="5B27EB83" w14:textId="77777777" w:rsidR="00B32041" w:rsidRDefault="00B32041">
      <w:pPr>
        <w:widowControl w:val="0"/>
        <w:jc w:val="center"/>
        <w:rPr>
          <w:sz w:val="28"/>
        </w:rPr>
      </w:pPr>
    </w:p>
    <w:p w14:paraId="2582EE5D" w14:textId="77777777" w:rsidR="00B32041" w:rsidRDefault="006978D2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 xml:space="preserve">9. Полномочия Анучинского </w:t>
      </w:r>
      <w:proofErr w:type="gramStart"/>
      <w:r>
        <w:rPr>
          <w:sz w:val="28"/>
        </w:rPr>
        <w:t>муниципального  округа</w:t>
      </w:r>
      <w:proofErr w:type="gramEnd"/>
      <w:r>
        <w:rPr>
          <w:sz w:val="28"/>
        </w:rPr>
        <w:t xml:space="preserve"> </w:t>
      </w:r>
    </w:p>
    <w:p w14:paraId="2AFF1D3C" w14:textId="77777777" w:rsidR="00B32041" w:rsidRDefault="006978D2">
      <w:pPr>
        <w:widowControl w:val="0"/>
        <w:jc w:val="center"/>
        <w:rPr>
          <w:sz w:val="28"/>
        </w:rPr>
      </w:pPr>
      <w:r>
        <w:rPr>
          <w:sz w:val="28"/>
        </w:rPr>
        <w:t xml:space="preserve">в сфере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>-частного партнерства</w:t>
      </w:r>
    </w:p>
    <w:p w14:paraId="18114A29" w14:textId="77777777" w:rsidR="00B32041" w:rsidRDefault="00B32041">
      <w:pPr>
        <w:widowControl w:val="0"/>
        <w:jc w:val="center"/>
        <w:rPr>
          <w:sz w:val="28"/>
        </w:rPr>
      </w:pPr>
    </w:p>
    <w:p w14:paraId="6A56C5AF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9.1. К полномочиям главы </w:t>
      </w:r>
      <w:r>
        <w:rPr>
          <w:sz w:val="28"/>
        </w:rPr>
        <w:t>Анучинского муниципального округа</w:t>
      </w:r>
      <w:r>
        <w:rPr>
          <w:bCs/>
          <w:sz w:val="28"/>
        </w:rPr>
        <w:t xml:space="preserve"> в сфере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 xml:space="preserve">-частного партнерства относится принятие решения о реализации проекта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-частного партнерства, если публичным партнером является муниципальный район, либо планируется проведение совместного конкурса с участием района, а также осуществление иных полномочий, предусмотренных правовыми актами Российской Федерации, нормативными правовыми актами Приморского края.</w:t>
      </w:r>
    </w:p>
    <w:p w14:paraId="1DEAACA8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9.2. Глава </w:t>
      </w:r>
      <w:r>
        <w:rPr>
          <w:sz w:val="28"/>
        </w:rPr>
        <w:t>Анучинского муниципального округа</w:t>
      </w:r>
      <w:r>
        <w:rPr>
          <w:bCs/>
          <w:sz w:val="28"/>
        </w:rPr>
        <w:t xml:space="preserve"> определяет должностных лиц, уполномоченных на осуществление следующих полномочий:</w:t>
      </w:r>
    </w:p>
    <w:p w14:paraId="4EEE79F4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-частного партнерства;</w:t>
      </w:r>
    </w:p>
    <w:p w14:paraId="2DC96613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225DB7FA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3) осуществление мониторинга реализации соглашения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0067B9D5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2650C2D9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5) ведение реестра заключенных соглашений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034FC798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6) обеспечение открытости и доступности информации о соглашении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26A8BC08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bCs/>
          <w:sz w:val="28"/>
        </w:rPr>
        <w:t>муниципально</w:t>
      </w:r>
      <w:proofErr w:type="spellEnd"/>
      <w:r>
        <w:rPr>
          <w:bCs/>
          <w:sz w:val="28"/>
        </w:rPr>
        <w:t>-частном партнерстве;</w:t>
      </w:r>
    </w:p>
    <w:p w14:paraId="32424006" w14:textId="77777777" w:rsidR="00B32041" w:rsidRDefault="006978D2">
      <w:pPr>
        <w:pStyle w:val="aa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8) осуществление иных полномочий, предусмотренных настоящим федеральным законодательством, законами и нормативными правовыми актами субъектов Российской Федерации, уставом муниципального района и муниципальными правовыми актами.</w:t>
      </w:r>
    </w:p>
    <w:p w14:paraId="329EEABD" w14:textId="77777777" w:rsidR="00B32041" w:rsidRDefault="006978D2">
      <w:pPr>
        <w:ind w:firstLine="709"/>
        <w:jc w:val="both"/>
        <w:rPr>
          <w:sz w:val="28"/>
        </w:rPr>
      </w:pPr>
      <w:r>
        <w:rPr>
          <w:sz w:val="28"/>
        </w:rPr>
        <w:t xml:space="preserve">9.3. Проведение оценки эффективности проекта </w:t>
      </w:r>
      <w:proofErr w:type="spellStart"/>
      <w:r>
        <w:rPr>
          <w:sz w:val="28"/>
        </w:rPr>
        <w:t>муниципально</w:t>
      </w:r>
      <w:proofErr w:type="spellEnd"/>
      <w:r>
        <w:rPr>
          <w:sz w:val="28"/>
        </w:rPr>
        <w:t xml:space="preserve"> – частного партнёрства и определения его сравнительного преимущества администрация Анучинского муниципального округа осуществляет в установленном муниципальным правовым актом порядке.</w:t>
      </w:r>
    </w:p>
    <w:p w14:paraId="15A03638" w14:textId="77777777" w:rsidR="00B32041" w:rsidRDefault="00B32041"/>
    <w:p w14:paraId="3E4CC8DA" w14:textId="77777777" w:rsidR="00B32041" w:rsidRDefault="00B32041">
      <w:pPr>
        <w:rPr>
          <w:bCs/>
          <w:sz w:val="28"/>
        </w:rPr>
      </w:pPr>
    </w:p>
    <w:p w14:paraId="22C22A1D" w14:textId="77777777" w:rsidR="00B32041" w:rsidRDefault="00B32041">
      <w:pPr>
        <w:rPr>
          <w:bCs/>
          <w:sz w:val="28"/>
        </w:rPr>
      </w:pPr>
    </w:p>
    <w:p w14:paraId="0DD668FD" w14:textId="77777777" w:rsidR="00B32041" w:rsidRDefault="00B32041">
      <w:pPr>
        <w:rPr>
          <w:bCs/>
          <w:sz w:val="28"/>
        </w:rPr>
      </w:pPr>
    </w:p>
    <w:p w14:paraId="75866C34" w14:textId="77777777" w:rsidR="00B32041" w:rsidRDefault="00B32041">
      <w:pPr>
        <w:spacing w:line="360" w:lineRule="auto"/>
        <w:jc w:val="both"/>
        <w:rPr>
          <w:sz w:val="28"/>
        </w:rPr>
      </w:pPr>
    </w:p>
    <w:sectPr w:rsidR="00B32041">
      <w:pgSz w:w="11906" w:h="16838"/>
      <w:pgMar w:top="709" w:right="84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C6A1" w14:textId="77777777" w:rsidR="00BD74A5" w:rsidRDefault="00BD74A5">
      <w:r>
        <w:separator/>
      </w:r>
    </w:p>
  </w:endnote>
  <w:endnote w:type="continuationSeparator" w:id="0">
    <w:p w14:paraId="06B0392C" w14:textId="77777777" w:rsidR="00BD74A5" w:rsidRDefault="00B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B7F2" w14:textId="77777777" w:rsidR="00BD74A5" w:rsidRDefault="00BD74A5">
      <w:r>
        <w:separator/>
      </w:r>
    </w:p>
  </w:footnote>
  <w:footnote w:type="continuationSeparator" w:id="0">
    <w:p w14:paraId="64094590" w14:textId="77777777" w:rsidR="00BD74A5" w:rsidRDefault="00BD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83E5D6"/>
    <w:multiLevelType w:val="singleLevel"/>
    <w:tmpl w:val="F583E5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3ACA2A1A"/>
    <w:multiLevelType w:val="multilevel"/>
    <w:tmpl w:val="3ACA2A1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685ABF"/>
    <w:multiLevelType w:val="multilevel"/>
    <w:tmpl w:val="56685ABF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DFE3D12"/>
    <w:multiLevelType w:val="multilevel"/>
    <w:tmpl w:val="7DFE3D12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5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52028188">
    <w:abstractNumId w:val="0"/>
  </w:num>
  <w:num w:numId="2" w16cid:durableId="1392654294">
    <w:abstractNumId w:val="1"/>
  </w:num>
  <w:num w:numId="3" w16cid:durableId="1758090711">
    <w:abstractNumId w:val="4"/>
  </w:num>
  <w:num w:numId="4" w16cid:durableId="659429729">
    <w:abstractNumId w:val="2"/>
  </w:num>
  <w:num w:numId="5" w16cid:durableId="51997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7814"/>
    <w:rsid w:val="000C1A7B"/>
    <w:rsid w:val="000E0B37"/>
    <w:rsid w:val="000E101D"/>
    <w:rsid w:val="001036AB"/>
    <w:rsid w:val="001065C5"/>
    <w:rsid w:val="00130FD7"/>
    <w:rsid w:val="00135135"/>
    <w:rsid w:val="00140EF8"/>
    <w:rsid w:val="00172A27"/>
    <w:rsid w:val="00174F9E"/>
    <w:rsid w:val="001A0721"/>
    <w:rsid w:val="001D53C0"/>
    <w:rsid w:val="001F2C42"/>
    <w:rsid w:val="00201F74"/>
    <w:rsid w:val="00211851"/>
    <w:rsid w:val="00216C10"/>
    <w:rsid w:val="002415C8"/>
    <w:rsid w:val="00252538"/>
    <w:rsid w:val="00261584"/>
    <w:rsid w:val="00270EC2"/>
    <w:rsid w:val="002A307B"/>
    <w:rsid w:val="003033C1"/>
    <w:rsid w:val="0031699E"/>
    <w:rsid w:val="00324E9D"/>
    <w:rsid w:val="003257CD"/>
    <w:rsid w:val="00335B3D"/>
    <w:rsid w:val="00370E45"/>
    <w:rsid w:val="00371184"/>
    <w:rsid w:val="003905B2"/>
    <w:rsid w:val="00391FC7"/>
    <w:rsid w:val="003C0959"/>
    <w:rsid w:val="003D53F0"/>
    <w:rsid w:val="003D7471"/>
    <w:rsid w:val="004578CD"/>
    <w:rsid w:val="00463B4A"/>
    <w:rsid w:val="004808A9"/>
    <w:rsid w:val="0049365D"/>
    <w:rsid w:val="004A2227"/>
    <w:rsid w:val="004B0539"/>
    <w:rsid w:val="004E0533"/>
    <w:rsid w:val="004E101D"/>
    <w:rsid w:val="004E38A1"/>
    <w:rsid w:val="005041D4"/>
    <w:rsid w:val="00517F0D"/>
    <w:rsid w:val="005322B6"/>
    <w:rsid w:val="005404E3"/>
    <w:rsid w:val="0054416D"/>
    <w:rsid w:val="0057329A"/>
    <w:rsid w:val="0058351A"/>
    <w:rsid w:val="00585628"/>
    <w:rsid w:val="005B23A4"/>
    <w:rsid w:val="005B2957"/>
    <w:rsid w:val="005B6F0C"/>
    <w:rsid w:val="005D2728"/>
    <w:rsid w:val="006214EF"/>
    <w:rsid w:val="00627140"/>
    <w:rsid w:val="00653956"/>
    <w:rsid w:val="00655819"/>
    <w:rsid w:val="00691448"/>
    <w:rsid w:val="006974C9"/>
    <w:rsid w:val="006978D2"/>
    <w:rsid w:val="006A4039"/>
    <w:rsid w:val="006D34A9"/>
    <w:rsid w:val="006D7509"/>
    <w:rsid w:val="006E6BA5"/>
    <w:rsid w:val="00712A36"/>
    <w:rsid w:val="00713CAB"/>
    <w:rsid w:val="0076080B"/>
    <w:rsid w:val="00777971"/>
    <w:rsid w:val="007964F2"/>
    <w:rsid w:val="007B56F3"/>
    <w:rsid w:val="007C5491"/>
    <w:rsid w:val="007D7E38"/>
    <w:rsid w:val="007E6961"/>
    <w:rsid w:val="00807B35"/>
    <w:rsid w:val="00816661"/>
    <w:rsid w:val="00821930"/>
    <w:rsid w:val="008266FE"/>
    <w:rsid w:val="008461C5"/>
    <w:rsid w:val="00861109"/>
    <w:rsid w:val="00872672"/>
    <w:rsid w:val="00873694"/>
    <w:rsid w:val="008B0B14"/>
    <w:rsid w:val="008B6B59"/>
    <w:rsid w:val="008C612D"/>
    <w:rsid w:val="008F02AE"/>
    <w:rsid w:val="008F0AEA"/>
    <w:rsid w:val="009115A3"/>
    <w:rsid w:val="0091335D"/>
    <w:rsid w:val="00933054"/>
    <w:rsid w:val="009524E1"/>
    <w:rsid w:val="009543DA"/>
    <w:rsid w:val="00961979"/>
    <w:rsid w:val="00984881"/>
    <w:rsid w:val="00984D62"/>
    <w:rsid w:val="00984E9D"/>
    <w:rsid w:val="009B2594"/>
    <w:rsid w:val="009D11E6"/>
    <w:rsid w:val="009D3D33"/>
    <w:rsid w:val="009D67C3"/>
    <w:rsid w:val="009F1D29"/>
    <w:rsid w:val="00A0497C"/>
    <w:rsid w:val="00A35C49"/>
    <w:rsid w:val="00A41B66"/>
    <w:rsid w:val="00A76675"/>
    <w:rsid w:val="00A81554"/>
    <w:rsid w:val="00A82BD1"/>
    <w:rsid w:val="00AA4BE9"/>
    <w:rsid w:val="00AE0CFC"/>
    <w:rsid w:val="00AF078C"/>
    <w:rsid w:val="00AF174D"/>
    <w:rsid w:val="00B168AB"/>
    <w:rsid w:val="00B32041"/>
    <w:rsid w:val="00B35494"/>
    <w:rsid w:val="00B50B6B"/>
    <w:rsid w:val="00B640E2"/>
    <w:rsid w:val="00B8258B"/>
    <w:rsid w:val="00BD74A5"/>
    <w:rsid w:val="00BF0AE4"/>
    <w:rsid w:val="00C10C34"/>
    <w:rsid w:val="00C22C44"/>
    <w:rsid w:val="00C37133"/>
    <w:rsid w:val="00C96E01"/>
    <w:rsid w:val="00CB78A0"/>
    <w:rsid w:val="00CC111A"/>
    <w:rsid w:val="00CC7835"/>
    <w:rsid w:val="00CD2251"/>
    <w:rsid w:val="00CE5436"/>
    <w:rsid w:val="00D174CF"/>
    <w:rsid w:val="00D22B87"/>
    <w:rsid w:val="00D600D7"/>
    <w:rsid w:val="00D70AEE"/>
    <w:rsid w:val="00D92F7F"/>
    <w:rsid w:val="00DD5734"/>
    <w:rsid w:val="00DE1995"/>
    <w:rsid w:val="00DE3958"/>
    <w:rsid w:val="00DE630C"/>
    <w:rsid w:val="00DE754E"/>
    <w:rsid w:val="00DF61F1"/>
    <w:rsid w:val="00DF7C69"/>
    <w:rsid w:val="00E1085C"/>
    <w:rsid w:val="00E209B7"/>
    <w:rsid w:val="00E44A3E"/>
    <w:rsid w:val="00E4638B"/>
    <w:rsid w:val="00E63A54"/>
    <w:rsid w:val="00E700DA"/>
    <w:rsid w:val="00F02388"/>
    <w:rsid w:val="00F1572E"/>
    <w:rsid w:val="00F9684E"/>
    <w:rsid w:val="00FA7D96"/>
    <w:rsid w:val="00FD4A17"/>
    <w:rsid w:val="00FF3D45"/>
    <w:rsid w:val="097D120A"/>
    <w:rsid w:val="0CB57098"/>
    <w:rsid w:val="10F00AC5"/>
    <w:rsid w:val="113805EB"/>
    <w:rsid w:val="115A1043"/>
    <w:rsid w:val="292E3917"/>
    <w:rsid w:val="2BBF5C96"/>
    <w:rsid w:val="2EC900C7"/>
    <w:rsid w:val="2F8B4FEF"/>
    <w:rsid w:val="3FB53538"/>
    <w:rsid w:val="464807A5"/>
    <w:rsid w:val="4A525288"/>
    <w:rsid w:val="4FF160F8"/>
    <w:rsid w:val="519D06D3"/>
    <w:rsid w:val="5BDC19F5"/>
    <w:rsid w:val="65C37EAD"/>
    <w:rsid w:val="69F83E9D"/>
    <w:rsid w:val="713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5D73"/>
  <w15:docId w15:val="{149EA21A-BF45-41D8-87E2-0E1A094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0"/>
    <w:link w:val="10"/>
    <w:qFormat/>
    <w:pPr>
      <w:keepNext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tabs>
        <w:tab w:val="left" w:pos="1260"/>
      </w:tabs>
      <w:jc w:val="both"/>
    </w:pPr>
    <w:rPr>
      <w:lang w:val="zh-CN" w:eastAsia="zh-CN"/>
    </w:rPr>
  </w:style>
  <w:style w:type="character" w:styleId="a5">
    <w:name w:val="Hyperlink"/>
    <w:semiHidden/>
    <w:unhideWhenUsed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Pr>
      <w:b/>
      <w:bCs/>
      <w:sz w:val="24"/>
      <w:szCs w:val="24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nhideWhenUsed/>
    <w:pPr>
      <w:spacing w:before="100" w:beforeAutospacing="1" w:after="100" w:afterAutospacing="1"/>
    </w:pPr>
  </w:style>
  <w:style w:type="table" w:styleId="ab">
    <w:name w:val="Table Grid"/>
    <w:basedOn w:val="a2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1"/>
    <w:link w:val="a0"/>
    <w:rPr>
      <w:rFonts w:ascii="Times New Roman" w:eastAsia="Times New Roman" w:hAnsi="Times New Roman" w:cs="Times New Roman"/>
      <w:sz w:val="26"/>
      <w:szCs w:val="28"/>
      <w:lang w:val="zh-CN" w:eastAsia="zh-CN"/>
    </w:rPr>
  </w:style>
  <w:style w:type="character" w:customStyle="1" w:styleId="20">
    <w:name w:val="Основной текст 2 Знак"/>
    <w:basedOn w:val="a1"/>
    <w:link w:val="2"/>
    <w:semiHidden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935E6EAD7EE2FEDC29E3D985A34931E8B8D94F315B73FC4EBCCB10054F95CEE78F7D01DC3994C0FD05E114940B8F432A7914A5NCQ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935E6EAD7EE2FEDC29E3D985A34931E8B8D94F315B73FC4EBCCB10054F95CEE78F7D05DE32C096BE5BB845D4408244306514A0D6F14886N7Q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935E6EAD7EE2FEDC29E3D985A34931E8B8D94F315B73FC4EBCCB10054F95CEE78F7D05DE32C096BE5BB845D4408244306514A0D6F14886N7Q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E1345C8A0670401FACD6068A0CD9EE5DF62D74CA55ED9E87667CAB2A968E1567A67D31CB5DEA4C08B161CA3A1784EF0A5794CA25180FF7m4h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1345C8A0670401FACD6068A0CD9EE5BFF2E72CC5EED9E87667CAB2A968E1567A67D31CB5DEA4A08B161CA3A1784EF0A5794CA25180FF7m4h3H" TargetMode="External"/><Relationship Id="rId14" Type="http://schemas.openxmlformats.org/officeDocument/2006/relationships/hyperlink" Target="consultantplus://offline/ref=DE935E6EAD7EE2FEDC29E3D985A34931E8B8D94F315B73FC4EBCCB10054F95CEE78F7D00DC3994C0FD05E114940B8F432A7914A5NC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3627-E06C-4777-8238-344B7689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3349</Words>
  <Characters>19091</Characters>
  <Application>Microsoft Office Word</Application>
  <DocSecurity>0</DocSecurity>
  <Lines>159</Lines>
  <Paragraphs>44</Paragraphs>
  <ScaleCrop>false</ScaleCrop>
  <Company/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Вера В. Клыкова</cp:lastModifiedBy>
  <cp:revision>2</cp:revision>
  <cp:lastPrinted>2022-07-08T03:33:00Z</cp:lastPrinted>
  <dcterms:created xsi:type="dcterms:W3CDTF">2022-07-27T23:40:00Z</dcterms:created>
  <dcterms:modified xsi:type="dcterms:W3CDTF">2022-07-27T23:40:00Z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69AAA52952824CFFBF25C4897E318482</vt:lpwstr>
  </property>
</Properties>
</file>