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fill="FFFFFF"/>
        <w:jc w:val="center"/>
        <w:rPr/>
      </w:pPr>
      <w:r>
        <w:rPr/>
        <w:drawing>
          <wp:inline distT="0" distB="0" distL="0" distR="0">
            <wp:extent cx="641985" cy="908685"/>
            <wp:effectExtent l="0" t="0" r="0" b="0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3" t="-16" r="-23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page">
                  <wp:posOffset>4860290</wp:posOffset>
                </wp:positionH>
                <wp:positionV relativeFrom="paragraph">
                  <wp:posOffset>-171450</wp:posOffset>
                </wp:positionV>
                <wp:extent cx="1376045" cy="370205"/>
                <wp:effectExtent l="0" t="0" r="0" b="0"/>
                <wp:wrapNone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560" cy="3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1" fillcolor="white" stroked="f" style="position:absolute;margin-left:382.7pt;margin-top:-13.5pt;width:108.25pt;height:29.05pt;mso-position-horizontal-relative:page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page">
                  <wp:posOffset>4860290</wp:posOffset>
                </wp:positionH>
                <wp:positionV relativeFrom="paragraph">
                  <wp:posOffset>-171450</wp:posOffset>
                </wp:positionV>
                <wp:extent cx="1376045" cy="370205"/>
                <wp:effectExtent l="0" t="0" r="0" b="0"/>
                <wp:wrapNone/>
                <wp:docPr id="3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045" cy="37020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 lIns="93980" tIns="48260" rIns="93980" bIns="482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8.35pt;height:29.15pt;mso-wrap-distance-left:0pt;mso-wrap-distance-right:0pt;mso-wrap-distance-top:0pt;mso-wrap-distance-bottom:0pt;margin-top:-13.5pt;mso-position-vertical-relative:text;margin-left:382.7pt;mso-position-horizontal-relative:page">
                <v:textbox inset="0.102777777777778in,0.0527777777777778in,0.102777777777778in,0.0527777777777778in">
                  <w:txbxContent>
                    <w:p>
                      <w:pPr>
                        <w:pStyle w:val="Normal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hd w:val="clear" w:fill="FFFFFF"/>
        <w:jc w:val="center"/>
        <w:rPr>
          <w:color w:val="000000"/>
          <w:sz w:val="10"/>
          <w:szCs w:val="24"/>
          <w:vertAlign w:val="subscript"/>
        </w:rPr>
      </w:pPr>
      <w:r>
        <w:rPr>
          <w:color w:val="000000"/>
          <w:sz w:val="10"/>
          <w:szCs w:val="24"/>
          <w:vertAlign w:val="subscript"/>
        </w:rPr>
      </w:r>
    </w:p>
    <w:p>
      <w:pPr>
        <w:pStyle w:val="2"/>
        <w:jc w:val="center"/>
        <w:rPr/>
      </w:pPr>
      <w:r>
        <w:rPr>
          <w:sz w:val="32"/>
        </w:rPr>
        <w:t>АДМИНИСТРАЦИЯ</w:t>
      </w:r>
    </w:p>
    <w:p>
      <w:pPr>
        <w:pStyle w:val="2"/>
        <w:jc w:val="center"/>
        <w:rPr/>
      </w:pPr>
      <w:r>
        <w:rPr>
          <w:sz w:val="32"/>
        </w:rPr>
        <w:t>АНУЧИНСКОГО МУНИЦИПАЛЬНОГО РАЙОНА</w:t>
        <w:br/>
      </w:r>
    </w:p>
    <w:p>
      <w:pPr>
        <w:pStyle w:val="Normal"/>
        <w:shd w:val="clear" w:fill="FFFFFF"/>
        <w:rPr>
          <w:sz w:val="16"/>
        </w:rPr>
      </w:pPr>
      <w:r>
        <w:rPr>
          <w:sz w:val="16"/>
        </w:rPr>
      </w:r>
    </w:p>
    <w:p>
      <w:pPr>
        <w:pStyle w:val="1"/>
        <w:numPr>
          <w:ilvl w:val="0"/>
          <w:numId w:val="2"/>
        </w:numPr>
        <w:jc w:val="center"/>
        <w:rPr/>
      </w:pPr>
      <w:r>
        <w:rPr>
          <w:sz w:val="28"/>
        </w:rPr>
        <w:t xml:space="preserve">Р </w:t>
      </w:r>
      <w:r>
        <w:rPr>
          <w:sz w:val="28"/>
        </w:rPr>
        <w:t xml:space="preserve">А </w:t>
      </w:r>
      <w:r>
        <w:rPr>
          <w:sz w:val="28"/>
        </w:rPr>
        <w:t xml:space="preserve">С П </w:t>
      </w:r>
      <w:r>
        <w:rPr>
          <w:sz w:val="28"/>
        </w:rPr>
        <w:t xml:space="preserve">О </w:t>
      </w:r>
      <w:r>
        <w:rPr>
          <w:sz w:val="28"/>
        </w:rPr>
        <w:t xml:space="preserve">Р Я Ж </w:t>
      </w:r>
      <w:r>
        <w:rPr>
          <w:sz w:val="28"/>
        </w:rPr>
        <w:t>Е Н И Е</w:t>
      </w:r>
    </w:p>
    <w:p>
      <w:pPr>
        <w:pStyle w:val="Normal"/>
        <w:shd w:val="clear" w:fill="FFFFFF"/>
        <w:jc w:val="right"/>
        <w:rPr>
          <w:rFonts w:ascii="Courier New" w:hAnsi="Courier New" w:cs="Courier New"/>
          <w:color w:val="000000"/>
          <w:sz w:val="10"/>
        </w:rPr>
      </w:pPr>
      <w:r>
        <w:rPr>
          <w:rFonts w:cs="Courier New" w:ascii="Courier New" w:hAnsi="Courier New"/>
          <w:color w:val="000000"/>
          <w:sz w:val="10"/>
        </w:rPr>
      </w:r>
    </w:p>
    <w:p>
      <w:pPr>
        <w:pStyle w:val="Normal"/>
        <w:shd w:val="clear" w:fill="FFFFFF"/>
        <w:tabs>
          <w:tab w:val="clear" w:pos="709"/>
          <w:tab w:val="left" w:pos="5151" w:leader="none"/>
        </w:tabs>
        <w:rPr>
          <w:rFonts w:ascii="Arial" w:hAnsi="Arial" w:cs="Arial"/>
          <w:color w:val="000000"/>
          <w:sz w:val="16"/>
        </w:rPr>
      </w:pPr>
      <w:r>
        <w:rPr>
          <w:rFonts w:cs="Arial" w:ascii="Arial" w:hAnsi="Arial"/>
          <w:color w:val="000000"/>
          <w:sz w:val="16"/>
        </w:rPr>
      </w:r>
    </w:p>
    <w:p>
      <w:pPr>
        <w:pStyle w:val="Normal"/>
        <w:shd w:val="clear" w:fill="FFFFFF"/>
        <w:rPr/>
      </w:pPr>
      <w:r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 xml:space="preserve"> февраля 2020 года</w:t>
      </w:r>
      <w:r>
        <w:rPr>
          <w:rFonts w:cs="Arial" w:ascii="Arial" w:hAnsi="Arial"/>
          <w:color w:val="000000"/>
          <w:sz w:val="28"/>
          <w:szCs w:val="28"/>
        </w:rPr>
        <w:t xml:space="preserve">              </w:t>
      </w:r>
      <w:r>
        <w:rPr>
          <w:rFonts w:cs="Arial"/>
          <w:color w:val="000000"/>
          <w:sz w:val="28"/>
          <w:szCs w:val="28"/>
        </w:rPr>
        <w:t xml:space="preserve"> с. Анучино         </w:t>
      </w:r>
      <w:r>
        <w:rPr>
          <w:rFonts w:cs="Arial" w:ascii="Arial" w:hAnsi="Arial"/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108-р</w:t>
      </w:r>
    </w:p>
    <w:p>
      <w:pPr>
        <w:pStyle w:val="Normal"/>
        <w:jc w:val="both"/>
        <w:rPr>
          <w:color w:val="000000"/>
          <w:sz w:val="16"/>
          <w:szCs w:val="16"/>
          <w:u w:val="single"/>
        </w:rPr>
      </w:pPr>
      <w:r>
        <w:rPr>
          <w:color w:val="000000"/>
          <w:sz w:val="16"/>
          <w:szCs w:val="16"/>
          <w:u w:val="single"/>
        </w:rPr>
      </w:r>
    </w:p>
    <w:p>
      <w:pPr>
        <w:pStyle w:val="Normal"/>
        <w:jc w:val="center"/>
        <w:rPr/>
      </w:pPr>
      <w:r>
        <w:rPr>
          <w:rStyle w:val="Style13"/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8"/>
          <w:szCs w:val="28"/>
          <w:u w:val="none"/>
        </w:rPr>
        <w:t xml:space="preserve">Об утверждении карты комплаенс-рисков нарушения антимонопольного законодательства в администрации </w:t>
      </w:r>
      <w:r>
        <w:rPr>
          <w:rStyle w:val="Style13"/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8"/>
          <w:szCs w:val="28"/>
          <w:u w:val="none"/>
        </w:rPr>
        <w:t>Анучинского</w:t>
      </w:r>
      <w:r>
        <w:rPr>
          <w:rStyle w:val="Style13"/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8"/>
          <w:szCs w:val="28"/>
          <w:u w:val="none"/>
        </w:rPr>
        <w:t xml:space="preserve"> муниципального района</w:t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  <w:u w:val="none"/>
        </w:rPr>
      </w:pPr>
      <w:r>
        <w:rPr>
          <w:b/>
          <w:bCs/>
          <w:color w:val="000000"/>
          <w:sz w:val="28"/>
          <w:szCs w:val="28"/>
          <w:u w:val="none"/>
        </w:rPr>
      </w:r>
    </w:p>
    <w:p>
      <w:pPr>
        <w:pStyle w:val="Normal"/>
        <w:spacing w:lineRule="auto" w:line="360"/>
        <w:jc w:val="both"/>
        <w:rPr/>
      </w:pPr>
      <w:r>
        <w:rPr>
          <w:color w:val="000000"/>
          <w:sz w:val="28"/>
          <w:szCs w:val="28"/>
          <w:u w:val="none"/>
        </w:rPr>
        <w:tab/>
        <w:t xml:space="preserve">В соответствии с Указом Президента Российской Федерации от 21.12.2017 года № 618 «Об основных направлениях государственной политики по развитию конкуренции»,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распоряжением Губернатора Приморского края от 28.02.2019 года № 52-рг «О мерах по созданию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Приморского края», </w:t>
      </w:r>
      <w:r>
        <w:rPr>
          <w:color w:val="000000"/>
          <w:sz w:val="28"/>
          <w:szCs w:val="28"/>
          <w:u w:val="none"/>
        </w:rPr>
        <w:t xml:space="preserve">постановлением </w:t>
      </w:r>
      <w:r>
        <w:rPr>
          <w:color w:val="000000"/>
          <w:sz w:val="28"/>
          <w:szCs w:val="28"/>
          <w:u w:val="none"/>
        </w:rPr>
        <w:t>администрации Анучинского муниципального района от 05.02.2020 года №</w:t>
      </w:r>
      <w:r>
        <w:rPr>
          <w:color w:val="000000"/>
          <w:sz w:val="28"/>
          <w:szCs w:val="28"/>
        </w:rPr>
        <w:t xml:space="preserve"> 89 «</w:t>
      </w:r>
      <w:r>
        <w:rPr>
          <w:b w:val="false"/>
          <w:bCs w:val="false"/>
          <w:color w:val="000000"/>
          <w:sz w:val="28"/>
          <w:szCs w:val="28"/>
          <w:u w:val="none"/>
        </w:rPr>
        <w:t xml:space="preserve">Об организации системы внутреннего обеспечения соответствия требованиям антимонопольного законодательства в администрации Анучинского муниципального района», </w:t>
      </w:r>
    </w:p>
    <w:p>
      <w:pPr>
        <w:pStyle w:val="Normal"/>
        <w:spacing w:lineRule="auto" w:line="360"/>
        <w:jc w:val="both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</w:r>
    </w:p>
    <w:p>
      <w:pPr>
        <w:pStyle w:val="Normal"/>
        <w:spacing w:lineRule="auto" w:line="360"/>
        <w:jc w:val="both"/>
        <w:rPr/>
      </w:pPr>
      <w:r>
        <w:rPr>
          <w:color w:val="000000"/>
          <w:sz w:val="28"/>
          <w:szCs w:val="28"/>
          <w:u w:val="none"/>
        </w:rPr>
        <w:t xml:space="preserve">1.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  <w:u w:val="none"/>
        </w:rPr>
        <w:t xml:space="preserve">Утвердить карту комплаенс-рисков администрации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  <w:u w:val="none"/>
        </w:rPr>
        <w:t xml:space="preserve">Анучинского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  <w:u w:val="none"/>
        </w:rPr>
        <w:t xml:space="preserve"> муниципального района,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  <w:u w:val="none"/>
        </w:rPr>
        <w:t xml:space="preserve">согласно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  <w:u w:val="none"/>
        </w:rPr>
        <w:t>приложени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  <w:u w:val="none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  <w:u w:val="none"/>
        </w:rPr>
        <w:t>.</w:t>
      </w:r>
    </w:p>
    <w:p>
      <w:pPr>
        <w:pStyle w:val="ConsPlusNormal"/>
        <w:spacing w:lineRule="auto" w:line="360"/>
        <w:ind w:left="0" w:right="0" w:hanging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u w:val="none"/>
        </w:rPr>
        <w:t xml:space="preserve">2. Общему отделу администрации Анучинского муниципального района настоящее </w:t>
      </w:r>
      <w:r>
        <w:rPr>
          <w:rFonts w:cs="Times New Roman" w:ascii="Times New Roman" w:hAnsi="Times New Roman"/>
          <w:color w:val="000000"/>
          <w:sz w:val="28"/>
          <w:szCs w:val="28"/>
          <w:u w:val="none"/>
        </w:rPr>
        <w:t>распоряжение</w:t>
      </w:r>
      <w:r>
        <w:rPr>
          <w:rFonts w:cs="Times New Roman" w:ascii="Times New Roman" w:hAnsi="Times New Roman"/>
          <w:color w:val="000000"/>
          <w:sz w:val="28"/>
          <w:szCs w:val="28"/>
          <w:u w:val="none"/>
        </w:rPr>
        <w:t xml:space="preserve"> разместить на официальном сайте администрации Анучинского  муниципального района, в сети  Интернет.</w:t>
      </w:r>
    </w:p>
    <w:p>
      <w:pPr>
        <w:pStyle w:val="Normal"/>
        <w:spacing w:lineRule="auto" w:line="360"/>
        <w:jc w:val="both"/>
        <w:rPr/>
      </w:pPr>
      <w:r>
        <w:rPr>
          <w:color w:val="000000"/>
          <w:sz w:val="28"/>
          <w:szCs w:val="28"/>
          <w:u w:val="none"/>
        </w:rPr>
        <w:t>3. Контроль за выполнением настоящего постановления оставляю за собой.</w:t>
      </w:r>
    </w:p>
    <w:p>
      <w:pPr>
        <w:pStyle w:val="Normal"/>
        <w:spacing w:lineRule="auto" w:line="360"/>
        <w:jc w:val="both"/>
        <w:rPr>
          <w:color w:val="000000"/>
          <w:sz w:val="16"/>
          <w:szCs w:val="16"/>
          <w:u w:val="single"/>
        </w:rPr>
      </w:pPr>
      <w:r>
        <w:rPr>
          <w:color w:val="000000"/>
          <w:sz w:val="16"/>
          <w:szCs w:val="16"/>
          <w:u w:val="single"/>
        </w:rPr>
      </w:r>
    </w:p>
    <w:p>
      <w:pPr>
        <w:pStyle w:val="Normal"/>
        <w:spacing w:lineRule="auto" w:line="360"/>
        <w:jc w:val="both"/>
        <w:rPr>
          <w:color w:val="000000"/>
          <w:sz w:val="16"/>
          <w:szCs w:val="16"/>
          <w:u w:val="single"/>
        </w:rPr>
      </w:pPr>
      <w:r>
        <w:rPr>
          <w:color w:val="000000"/>
          <w:sz w:val="16"/>
          <w:szCs w:val="16"/>
          <w:u w:val="single"/>
        </w:rPr>
      </w:r>
    </w:p>
    <w:p>
      <w:pPr>
        <w:pStyle w:val="Style16"/>
        <w:spacing w:lineRule="auto" w:line="360" w:before="69" w:after="0"/>
        <w:jc w:val="both"/>
        <w:rPr/>
      </w:pPr>
      <w:r>
        <w:rPr>
          <w:bCs/>
          <w:szCs w:val="28"/>
          <w:lang w:val="ru-RU"/>
        </w:rPr>
        <w:t>Г</w:t>
      </w:r>
      <w:r>
        <w:rPr>
          <w:bCs/>
          <w:szCs w:val="28"/>
        </w:rPr>
        <w:t>лава</w:t>
      </w:r>
      <w:r>
        <w:rPr>
          <w:bCs/>
          <w:szCs w:val="28"/>
          <w:lang w:val="ru-RU"/>
        </w:rPr>
        <w:t xml:space="preserve"> </w:t>
      </w:r>
      <w:r>
        <w:rPr>
          <w:bCs/>
          <w:szCs w:val="28"/>
        </w:rPr>
        <w:t xml:space="preserve">Анучинского </w:t>
      </w:r>
    </w:p>
    <w:p>
      <w:pPr>
        <w:pStyle w:val="Style16"/>
        <w:spacing w:lineRule="auto" w:line="360" w:before="0" w:after="0"/>
        <w:jc w:val="both"/>
        <w:rPr/>
      </w:pPr>
      <w:r>
        <w:rPr>
          <w:bCs/>
          <w:szCs w:val="28"/>
        </w:rPr>
        <w:t xml:space="preserve">муниципального района                                                   </w:t>
      </w:r>
      <w:r>
        <w:rPr>
          <w:bCs/>
          <w:szCs w:val="28"/>
          <w:lang w:val="ru-RU"/>
        </w:rPr>
        <w:t xml:space="preserve"> </w:t>
      </w:r>
      <w:r>
        <w:rPr>
          <w:bCs/>
          <w:szCs w:val="28"/>
        </w:rPr>
        <w:t xml:space="preserve">  </w:t>
      </w:r>
      <w:r>
        <w:rPr>
          <w:bCs/>
          <w:szCs w:val="28"/>
          <w:lang w:val="ru-RU"/>
        </w:rPr>
        <w:t>С.А. Понуровский</w:t>
      </w:r>
    </w:p>
    <w:p>
      <w:pPr>
        <w:pStyle w:val="Style16"/>
        <w:rPr>
          <w:b/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</w:r>
    </w:p>
    <w:p>
      <w:pPr>
        <w:pStyle w:val="Normal"/>
        <w:jc w:val="center"/>
        <w:rPr>
          <w:b/>
          <w:b/>
          <w:bCs/>
          <w:color w:val="000000"/>
          <w:sz w:val="18"/>
          <w:szCs w:val="28"/>
          <w:lang w:val="ru-RU"/>
        </w:rPr>
      </w:pPr>
      <w:r>
        <w:rPr>
          <w:b/>
          <w:bCs/>
          <w:color w:val="000000"/>
          <w:sz w:val="18"/>
          <w:szCs w:val="28"/>
          <w:lang w:val="ru-RU"/>
        </w:rPr>
      </w:r>
    </w:p>
    <w:p>
      <w:pPr>
        <w:pStyle w:val="Normal"/>
        <w:jc w:val="center"/>
        <w:rPr>
          <w:b/>
          <w:b/>
          <w:bCs/>
          <w:color w:val="000000"/>
          <w:sz w:val="18"/>
          <w:szCs w:val="28"/>
          <w:lang w:val="ru-RU"/>
        </w:rPr>
      </w:pPr>
      <w:r>
        <w:rPr>
          <w:b/>
          <w:bCs/>
          <w:color w:val="000000"/>
          <w:sz w:val="18"/>
          <w:szCs w:val="28"/>
          <w:lang w:val="ru-RU"/>
        </w:rPr>
      </w:r>
    </w:p>
    <w:p>
      <w:pPr>
        <w:pStyle w:val="Normal"/>
        <w:jc w:val="center"/>
        <w:rPr>
          <w:b/>
          <w:b/>
          <w:bCs/>
          <w:color w:val="000000"/>
          <w:sz w:val="18"/>
          <w:szCs w:val="28"/>
          <w:lang w:val="ru-RU"/>
        </w:rPr>
      </w:pPr>
      <w:r>
        <w:rPr>
          <w:b/>
          <w:bCs/>
          <w:color w:val="000000"/>
          <w:sz w:val="18"/>
          <w:szCs w:val="28"/>
          <w:lang w:val="ru-RU"/>
        </w:rPr>
      </w:r>
    </w:p>
    <w:p>
      <w:pPr>
        <w:pStyle w:val="Normal"/>
        <w:jc w:val="center"/>
        <w:rPr>
          <w:b/>
          <w:b/>
          <w:color w:val="000000"/>
          <w:sz w:val="18"/>
          <w:szCs w:val="28"/>
        </w:rPr>
      </w:pPr>
      <w:r>
        <w:rPr>
          <w:b/>
          <w:color w:val="000000"/>
          <w:sz w:val="18"/>
          <w:szCs w:val="28"/>
        </w:rPr>
      </w:r>
    </w:p>
    <w:p>
      <w:pPr>
        <w:pStyle w:val="Normal"/>
        <w:jc w:val="center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Normal"/>
        <w:jc w:val="center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Normal"/>
        <w:shd w:val="clear" w:fill="FFFFFF"/>
        <w:jc w:val="center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Normal"/>
        <w:shd w:val="clear" w:fill="FFFFFF"/>
        <w:jc w:val="center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Normal"/>
        <w:shd w:val="clear" w:fill="FFFFFF"/>
        <w:jc w:val="center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Normal"/>
        <w:shd w:val="clear" w:fill="FFFFFF"/>
        <w:jc w:val="center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Normal"/>
        <w:shd w:val="clear" w:fill="FFFFFF"/>
        <w:jc w:val="center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Normal"/>
        <w:shd w:val="clear" w:fill="FFFFFF"/>
        <w:jc w:val="center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Normal"/>
        <w:shd w:val="clear" w:fill="FFFFFF"/>
        <w:jc w:val="center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Normal"/>
        <w:shd w:val="clear" w:fill="FFFFFF"/>
        <w:jc w:val="center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Normal"/>
        <w:shd w:val="clear" w:fill="FFFFFF"/>
        <w:jc w:val="center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Normal"/>
        <w:shd w:val="clear" w:fill="FFFFFF"/>
        <w:jc w:val="center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Normal"/>
        <w:shd w:val="clear" w:fill="FFFFFF"/>
        <w:jc w:val="center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Normal"/>
        <w:shd w:val="clear" w:fill="FFFFFF"/>
        <w:jc w:val="center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Normal"/>
        <w:shd w:val="clear" w:fill="FFFFFF"/>
        <w:jc w:val="center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Normal"/>
        <w:shd w:val="clear" w:fill="FFFFFF"/>
        <w:jc w:val="center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Normal"/>
        <w:shd w:val="clear" w:fill="FFFFFF"/>
        <w:jc w:val="center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Normal"/>
        <w:shd w:val="clear" w:fill="FFFFFF"/>
        <w:jc w:val="center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Normal"/>
        <w:shd w:val="clear" w:fill="FFFFFF"/>
        <w:jc w:val="center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Normal"/>
        <w:shd w:val="clear" w:fill="FFFFFF"/>
        <w:jc w:val="center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Normal"/>
        <w:shd w:val="clear" w:fill="FFFFFF"/>
        <w:jc w:val="center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Normal"/>
        <w:shd w:val="clear" w:fill="FFFFFF"/>
        <w:jc w:val="center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Normal"/>
        <w:shd w:val="clear" w:fill="FFFFFF"/>
        <w:jc w:val="center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Normal"/>
        <w:shd w:val="clear" w:fill="FFFFFF"/>
        <w:jc w:val="center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Normal"/>
        <w:shd w:val="clear" w:fill="FFFFFF"/>
        <w:jc w:val="center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Normal"/>
        <w:shd w:val="clear" w:fill="FFFFFF"/>
        <w:jc w:val="center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Normal"/>
        <w:shd w:val="clear" w:fill="FFFFFF"/>
        <w:jc w:val="center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Normal"/>
        <w:shd w:val="clear" w:fill="FFFFFF"/>
        <w:jc w:val="center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Normal"/>
        <w:shd w:val="clear" w:fill="FFFFFF"/>
        <w:jc w:val="center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Normal"/>
        <w:shd w:val="clear" w:fill="FFFFFF"/>
        <w:jc w:val="center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Normal"/>
        <w:shd w:val="clear" w:fill="FFFFFF"/>
        <w:jc w:val="center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Normal"/>
        <w:shd w:val="clear" w:fill="FFFFFF"/>
        <w:jc w:val="center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Normal"/>
        <w:shd w:val="clear" w:fill="FFFFFF"/>
        <w:jc w:val="center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Normal"/>
        <w:shd w:val="clear" w:fill="FFFFFF"/>
        <w:jc w:val="center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Normal"/>
        <w:shd w:val="clear" w:fill="FFFFFF"/>
        <w:jc w:val="center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Normal"/>
        <w:shd w:val="clear" w:fill="FFFFFF"/>
        <w:jc w:val="center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Normal"/>
        <w:shd w:val="clear" w:fill="FFFFFF"/>
        <w:jc w:val="center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Normal"/>
        <w:shd w:val="clear" w:fill="FFFFFF"/>
        <w:jc w:val="both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Normal"/>
        <w:shd w:val="clear" w:fill="FFFFFF"/>
        <w:jc w:val="both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Normal"/>
        <w:shd w:val="clear" w:fill="FFFFFF"/>
        <w:jc w:val="both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Normal"/>
        <w:shd w:val="clear" w:fill="FFFFFF"/>
        <w:jc w:val="both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Normal"/>
        <w:widowControl/>
        <w:shd w:val="clear" w:fill="FFFFFF"/>
        <w:spacing w:before="0" w:after="150"/>
        <w:ind w:left="0" w:right="0" w:hanging="0"/>
        <w:jc w:val="both"/>
        <w:rPr>
          <w:rStyle w:val="Style13"/>
          <w:b/>
          <w:b/>
          <w:i w:val="false"/>
          <w:i w:val="false"/>
          <w:caps w:val="false"/>
          <w:smallCaps w:val="false"/>
          <w:color w:val="000000"/>
          <w:spacing w:val="0"/>
          <w:sz w:val="18"/>
          <w:szCs w:val="28"/>
        </w:rPr>
      </w:pPr>
      <w:r>
        <w:rPr>
          <w:color w:val="000000"/>
          <w:sz w:val="18"/>
        </w:rPr>
      </w:r>
    </w:p>
    <w:p>
      <w:pPr>
        <w:pStyle w:val="Style17"/>
        <w:widowControl/>
        <w:spacing w:before="0" w:after="150"/>
        <w:ind w:left="0" w:right="0" w:hanging="0"/>
        <w:jc w:val="center"/>
        <w:rPr>
          <w:rStyle w:val="Style13"/>
          <w:b/>
          <w:b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/>
      </w:r>
    </w:p>
    <w:p>
      <w:pPr>
        <w:pStyle w:val="Style17"/>
        <w:widowControl/>
        <w:spacing w:before="0" w:after="150"/>
        <w:ind w:left="0" w:right="0" w:hanging="0"/>
        <w:jc w:val="center"/>
        <w:rPr>
          <w:rStyle w:val="Style13"/>
          <w:b/>
          <w:b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/>
      </w:r>
    </w:p>
    <w:p>
      <w:pPr>
        <w:pStyle w:val="Style17"/>
        <w:widowControl/>
        <w:spacing w:before="0" w:after="150"/>
        <w:ind w:left="0" w:right="0" w:hanging="0"/>
        <w:jc w:val="center"/>
        <w:rPr>
          <w:rStyle w:val="Style13"/>
          <w:b/>
          <w:b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/>
      </w:r>
    </w:p>
    <w:p>
      <w:pPr>
        <w:pStyle w:val="Normal"/>
        <w:jc w:val="right"/>
        <w:rPr/>
      </w:pPr>
      <w:r>
        <w:rPr/>
        <w:t>Приложение</w:t>
      </w:r>
    </w:p>
    <w:p>
      <w:pPr>
        <w:pStyle w:val="Normal"/>
        <w:jc w:val="right"/>
        <w:rPr/>
      </w:pPr>
      <w:r>
        <w:rPr/>
        <w:t xml:space="preserve">к </w:t>
      </w:r>
      <w:r>
        <w:rPr/>
        <w:t>распоряжению</w:t>
      </w:r>
      <w:r>
        <w:rPr/>
        <w:t xml:space="preserve"> </w:t>
      </w:r>
      <w:r>
        <w:rPr/>
        <w:t>а</w:t>
      </w:r>
      <w:r>
        <w:rPr/>
        <w:t>дминистрации</w:t>
      </w:r>
    </w:p>
    <w:p>
      <w:pPr>
        <w:pStyle w:val="Normal"/>
        <w:jc w:val="right"/>
        <w:rPr/>
      </w:pPr>
      <w:r>
        <w:rPr/>
        <w:t>Анучинского муниципального района</w:t>
      </w:r>
    </w:p>
    <w:p>
      <w:pPr>
        <w:pStyle w:val="Normal"/>
        <w:widowControl/>
        <w:spacing w:before="0" w:after="150"/>
        <w:ind w:left="0" w:right="0" w:hanging="0"/>
        <w:jc w:val="right"/>
        <w:rPr/>
      </w:pPr>
      <w:r>
        <w:rPr>
          <w:rStyle w:val="Style13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от </w:t>
      </w:r>
      <w:r>
        <w:rPr>
          <w:rStyle w:val="Style13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19</w:t>
      </w:r>
      <w:r>
        <w:rPr>
          <w:rStyle w:val="Style13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 </w:t>
      </w:r>
      <w:r>
        <w:rPr>
          <w:rStyle w:val="Style13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февраля</w:t>
      </w:r>
      <w:r>
        <w:rPr>
          <w:rStyle w:val="Style13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 2020 года № </w:t>
      </w:r>
      <w:r>
        <w:rPr>
          <w:rStyle w:val="Style13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108-р</w:t>
      </w:r>
    </w:p>
    <w:p>
      <w:pPr>
        <w:pStyle w:val="Style17"/>
        <w:widowControl/>
        <w:spacing w:before="0" w:after="150"/>
        <w:ind w:left="0" w:right="0" w:hanging="0"/>
        <w:jc w:val="center"/>
        <w:rPr>
          <w:rStyle w:val="Style13"/>
          <w:b/>
          <w:b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/>
      </w:r>
    </w:p>
    <w:p>
      <w:pPr>
        <w:pStyle w:val="Style17"/>
        <w:widowControl/>
        <w:spacing w:before="0" w:after="150"/>
        <w:ind w:left="0" w:right="0" w:hanging="0"/>
        <w:jc w:val="center"/>
        <w:rPr/>
      </w:pPr>
      <w:r>
        <w:rPr>
          <w:rStyle w:val="Style13"/>
          <w:b/>
          <w:i w:val="false"/>
          <w:caps w:val="false"/>
          <w:smallCaps w:val="false"/>
          <w:color w:val="333333"/>
          <w:spacing w:val="0"/>
          <w:sz w:val="28"/>
          <w:szCs w:val="28"/>
        </w:rPr>
        <w:t>Карта комплаенс-рисков администрации Анучинского муниципального района</w:t>
      </w:r>
    </w:p>
    <w:tbl>
      <w:tblPr>
        <w:tblW w:w="9638" w:type="dxa"/>
        <w:jc w:val="left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insideH w:val="single" w:sz="6" w:space="0" w:color="808080"/>
        </w:tblBorders>
        <w:shd w:fill="FFFFFF" w:val="clear"/>
        <w:tblCellMar>
          <w:top w:w="28" w:type="dxa"/>
          <w:left w:w="20" w:type="dxa"/>
          <w:bottom w:w="28" w:type="dxa"/>
          <w:right w:w="28" w:type="dxa"/>
        </w:tblCellMar>
      </w:tblPr>
      <w:tblGrid>
        <w:gridCol w:w="463"/>
        <w:gridCol w:w="2137"/>
        <w:gridCol w:w="2550"/>
        <w:gridCol w:w="1075"/>
        <w:gridCol w:w="1550"/>
        <w:gridCol w:w="1862"/>
      </w:tblGrid>
      <w:tr>
        <w:trPr/>
        <w:tc>
          <w:tcPr>
            <w:tcW w:w="4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FFFFFF" w:val="clear"/>
          </w:tcPr>
          <w:p>
            <w:pPr>
              <w:pStyle w:val="Style21"/>
              <w:spacing w:before="0" w:after="150"/>
              <w:ind w:left="0" w:right="0" w:hanging="0"/>
              <w:jc w:val="both"/>
              <w:rPr/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1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FFFFFF" w:val="clear"/>
          </w:tcPr>
          <w:p>
            <w:pPr>
              <w:pStyle w:val="Style21"/>
              <w:spacing w:before="0" w:after="150"/>
              <w:ind w:left="0" w:right="0" w:hanging="0"/>
              <w:jc w:val="both"/>
              <w:rPr/>
            </w:pPr>
            <w:r>
              <w:rPr>
                <w:sz w:val="28"/>
                <w:szCs w:val="28"/>
              </w:rPr>
              <w:t>Вид комплаенс-риска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FFFFFF" w:val="clear"/>
          </w:tcPr>
          <w:p>
            <w:pPr>
              <w:pStyle w:val="Style21"/>
              <w:spacing w:before="0" w:after="150"/>
              <w:ind w:left="0" w:right="0" w:hanging="0"/>
              <w:jc w:val="left"/>
              <w:rPr/>
            </w:pPr>
            <w:r>
              <w:rPr>
                <w:sz w:val="28"/>
                <w:szCs w:val="28"/>
              </w:rPr>
              <w:t>Причины и условия возникновения рисков</w:t>
            </w:r>
          </w:p>
        </w:tc>
        <w:tc>
          <w:tcPr>
            <w:tcW w:w="10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FFFFFF" w:val="clear"/>
          </w:tcPr>
          <w:p>
            <w:pPr>
              <w:pStyle w:val="Style21"/>
              <w:spacing w:before="0" w:after="150"/>
              <w:ind w:left="0" w:right="0" w:hanging="0"/>
              <w:jc w:val="both"/>
              <w:rPr/>
            </w:pPr>
            <w:r>
              <w:rPr>
                <w:sz w:val="28"/>
                <w:szCs w:val="28"/>
              </w:rPr>
              <w:t>Уровень риска</w:t>
            </w:r>
          </w:p>
        </w:tc>
        <w:tc>
          <w:tcPr>
            <w:tcW w:w="1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FFFFFF" w:val="clear"/>
          </w:tcPr>
          <w:p>
            <w:pPr>
              <w:pStyle w:val="Style21"/>
              <w:spacing w:before="0" w:after="150"/>
              <w:ind w:left="0" w:right="0" w:hanging="0"/>
              <w:jc w:val="both"/>
              <w:rPr/>
            </w:pPr>
            <w:r>
              <w:rPr>
                <w:sz w:val="28"/>
                <w:szCs w:val="28"/>
              </w:rPr>
              <w:t>Наличие (отсутствие) остаточных рисков</w:t>
            </w:r>
          </w:p>
        </w:tc>
        <w:tc>
          <w:tcPr>
            <w:tcW w:w="18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FFFFFF" w:val="clear"/>
          </w:tcPr>
          <w:p>
            <w:pPr>
              <w:pStyle w:val="Style21"/>
              <w:spacing w:before="0" w:after="150"/>
              <w:ind w:left="0" w:right="0" w:hanging="0"/>
              <w:jc w:val="both"/>
              <w:rPr/>
            </w:pPr>
            <w:r>
              <w:rPr>
                <w:sz w:val="28"/>
                <w:szCs w:val="28"/>
              </w:rPr>
              <w:t>Вероятность повторного возникновения рисков</w:t>
            </w:r>
          </w:p>
        </w:tc>
      </w:tr>
      <w:tr>
        <w:trPr/>
        <w:tc>
          <w:tcPr>
            <w:tcW w:w="463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FFFFFF" w:val="clear"/>
          </w:tcPr>
          <w:p>
            <w:pPr>
              <w:pStyle w:val="Style21"/>
              <w:spacing w:before="0" w:after="15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37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FFFFFF" w:val="clear"/>
          </w:tcPr>
          <w:p>
            <w:pPr>
              <w:pStyle w:val="Style21"/>
              <w:spacing w:before="0" w:after="15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</w:tc>
        <w:tc>
          <w:tcPr>
            <w:tcW w:w="2550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FFFFFF" w:val="clear"/>
          </w:tcPr>
          <w:p>
            <w:pPr>
              <w:pStyle w:val="Style21"/>
              <w:spacing w:before="0" w:after="150"/>
              <w:ind w:left="0" w:right="0" w:hanging="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sz w:val="24"/>
                <w:szCs w:val="28"/>
              </w:rPr>
              <w:t>О</w:t>
            </w:r>
            <w:r>
              <w:rPr>
                <w:sz w:val="28"/>
                <w:szCs w:val="28"/>
              </w:rPr>
              <w:t>шибочное применение норм 44-ФЗ от 05.04.2013; отсутствие достаточной квалификации у специалистов; высокая нагрузка у специалистов; несогласованность структурных подразделений</w:t>
            </w:r>
          </w:p>
        </w:tc>
        <w:tc>
          <w:tcPr>
            <w:tcW w:w="1075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FFFFFF" w:val="clear"/>
          </w:tcPr>
          <w:p>
            <w:pPr>
              <w:pStyle w:val="Style21"/>
              <w:spacing w:before="0" w:after="15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  <w:tc>
          <w:tcPr>
            <w:tcW w:w="1550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FFFFFF" w:val="clear"/>
          </w:tcPr>
          <w:p>
            <w:pPr>
              <w:pStyle w:val="Style21"/>
              <w:spacing w:before="0" w:after="15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Возможен</w:t>
            </w:r>
          </w:p>
        </w:tc>
        <w:tc>
          <w:tcPr>
            <w:tcW w:w="1862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FFFFFF" w:val="clear"/>
          </w:tcPr>
          <w:p>
            <w:pPr>
              <w:pStyle w:val="Style21"/>
              <w:spacing w:before="0" w:after="15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Маловероятно</w:t>
            </w:r>
          </w:p>
        </w:tc>
      </w:tr>
      <w:tr>
        <w:trPr>
          <w:trHeight w:val="4606" w:hRule="atLeast"/>
        </w:trPr>
        <w:tc>
          <w:tcPr>
            <w:tcW w:w="463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FFFFFF" w:val="clear"/>
          </w:tcPr>
          <w:p>
            <w:pPr>
              <w:pStyle w:val="Style21"/>
              <w:jc w:val="both"/>
              <w:rPr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37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FFFFFF" w:val="clear"/>
          </w:tcPr>
          <w:p>
            <w:pPr>
              <w:pStyle w:val="Style21"/>
              <w:spacing w:before="0" w:after="15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НПА в сферах деятельности администрации </w:t>
            </w:r>
            <w:r>
              <w:rPr>
                <w:sz w:val="28"/>
                <w:szCs w:val="28"/>
              </w:rPr>
              <w:t>Анучинского</w:t>
            </w:r>
            <w:r>
              <w:rPr>
                <w:sz w:val="28"/>
                <w:szCs w:val="28"/>
              </w:rPr>
              <w:t xml:space="preserve"> муниципального района, содержащих положения, влекущие нарушения антимонопольного законодательства</w:t>
            </w:r>
          </w:p>
        </w:tc>
        <w:tc>
          <w:tcPr>
            <w:tcW w:w="2550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FFFFFF" w:val="clear"/>
          </w:tcPr>
          <w:p>
            <w:pPr>
              <w:pStyle w:val="Style21"/>
              <w:spacing w:before="0" w:after="15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Недостаточное знание действующего законодательства; несвоевременное отслеживание изменений законодательства</w:t>
            </w:r>
          </w:p>
        </w:tc>
        <w:tc>
          <w:tcPr>
            <w:tcW w:w="1075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FFFFFF" w:val="clear"/>
          </w:tcPr>
          <w:p>
            <w:pPr>
              <w:pStyle w:val="Style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  <w:tc>
          <w:tcPr>
            <w:tcW w:w="1550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FFFFFF" w:val="clear"/>
          </w:tcPr>
          <w:p>
            <w:pPr>
              <w:pStyle w:val="Style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Возможен</w:t>
            </w:r>
          </w:p>
        </w:tc>
        <w:tc>
          <w:tcPr>
            <w:tcW w:w="1862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FFFFFF" w:val="clear"/>
          </w:tcPr>
          <w:p>
            <w:pPr>
              <w:pStyle w:val="Style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Маловероятно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>
      <w:pPr>
        <w:pStyle w:val="Style17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b w:val="false"/>
          <w:i w:val="false"/>
          <w:caps w:val="false"/>
          <w:smallCaps w:val="false"/>
          <w:color w:val="333333"/>
          <w:spacing w:val="0"/>
        </w:rPr>
      </w:r>
    </w:p>
    <w:p>
      <w:pPr>
        <w:pStyle w:val="Style17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b w:val="false"/>
          <w:i w:val="false"/>
          <w:caps w:val="false"/>
          <w:smallCaps w:val="false"/>
          <w:color w:val="333333"/>
          <w:spacing w:val="0"/>
        </w:rPr>
      </w:r>
    </w:p>
    <w:p>
      <w:pPr>
        <w:pStyle w:val="Style17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b w:val="false"/>
          <w:i w:val="false"/>
          <w:caps w:val="false"/>
          <w:smallCaps w:val="false"/>
          <w:color w:val="333333"/>
          <w:spacing w:val="0"/>
        </w:rPr>
      </w:r>
    </w:p>
    <w:p>
      <w:pPr>
        <w:pStyle w:val="Style17"/>
        <w:widowControl/>
        <w:spacing w:before="0" w:after="150"/>
        <w:ind w:left="0" w:right="0" w:hanging="0"/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24"/>
        </w:rPr>
        <w:t>Приложение 2</w:t>
      </w:r>
    </w:p>
    <w:p>
      <w:pPr>
        <w:pStyle w:val="Style17"/>
        <w:widowControl/>
        <w:spacing w:before="0" w:after="150"/>
        <w:ind w:left="0" w:right="0" w:hanging="0"/>
        <w:rPr/>
      </w:pPr>
      <w:r>
        <w:rPr>
          <w:rStyle w:val="Style13"/>
          <w:rFonts w:ascii="Roboto;sans-serif" w:hAnsi="Roboto;sans-serif"/>
          <w:b/>
          <w:i w:val="false"/>
          <w:caps w:val="false"/>
          <w:smallCaps w:val="false"/>
          <w:color w:val="333333"/>
          <w:spacing w:val="0"/>
          <w:sz w:val="28"/>
        </w:rPr>
        <w:t>План мероприятий («дорожная карта») по снижению комплаенс - рисков администрации Пограничного муниципального района</w:t>
      </w:r>
    </w:p>
    <w:tbl>
      <w:tblPr>
        <w:tblW w:w="9483" w:type="dxa"/>
        <w:jc w:val="left"/>
        <w:tblInd w:w="0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shd w:fill="FFFFFF" w:val="clear"/>
        <w:tblCellMar>
          <w:top w:w="28" w:type="dxa"/>
          <w:left w:w="20" w:type="dxa"/>
          <w:bottom w:w="28" w:type="dxa"/>
          <w:right w:w="28" w:type="dxa"/>
        </w:tblCellMar>
      </w:tblPr>
      <w:tblGrid>
        <w:gridCol w:w="410"/>
        <w:gridCol w:w="2029"/>
        <w:gridCol w:w="2029"/>
        <w:gridCol w:w="1703"/>
        <w:gridCol w:w="1458"/>
        <w:gridCol w:w="1854"/>
      </w:tblGrid>
      <w:tr>
        <w:trPr/>
        <w:tc>
          <w:tcPr>
            <w:tcW w:w="41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FFFFFF" w:val="clear"/>
            <w:vAlign w:val="center"/>
          </w:tcPr>
          <w:p>
            <w:pPr>
              <w:pStyle w:val="Style21"/>
              <w:spacing w:before="0" w:after="150"/>
              <w:ind w:left="0" w:right="0" w:hanging="0"/>
              <w:rPr/>
            </w:pPr>
            <w:r>
              <w:rPr/>
              <w:t xml:space="preserve">№ </w:t>
            </w:r>
            <w:r>
              <w:rPr>
                <w:sz w:val="24"/>
              </w:rPr>
              <w:t>п/п</w:t>
            </w:r>
          </w:p>
        </w:tc>
        <w:tc>
          <w:tcPr>
            <w:tcW w:w="202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FFFFFF" w:val="clear"/>
            <w:vAlign w:val="center"/>
          </w:tcPr>
          <w:p>
            <w:pPr>
              <w:pStyle w:val="Style21"/>
              <w:spacing w:before="0" w:after="15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Вид комплаенс-риска</w:t>
            </w:r>
          </w:p>
        </w:tc>
        <w:tc>
          <w:tcPr>
            <w:tcW w:w="202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FFFFFF" w:val="clear"/>
            <w:vAlign w:val="center"/>
          </w:tcPr>
          <w:p>
            <w:pPr>
              <w:pStyle w:val="Style21"/>
              <w:spacing w:before="0" w:after="15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Мероприятия по минимизации и устранению рисков</w:t>
            </w:r>
          </w:p>
        </w:tc>
        <w:tc>
          <w:tcPr>
            <w:tcW w:w="170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FFFFFF" w:val="clear"/>
            <w:vAlign w:val="center"/>
          </w:tcPr>
          <w:p>
            <w:pPr>
              <w:pStyle w:val="Style21"/>
              <w:spacing w:before="0" w:after="15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Предложенные действия</w:t>
            </w:r>
          </w:p>
        </w:tc>
        <w:tc>
          <w:tcPr>
            <w:tcW w:w="145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FFFFFF" w:val="clear"/>
            <w:vAlign w:val="center"/>
          </w:tcPr>
          <w:p>
            <w:pPr>
              <w:pStyle w:val="Style21"/>
              <w:spacing w:before="0" w:after="15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Срок исполнения мероприятий</w:t>
            </w:r>
          </w:p>
        </w:tc>
        <w:tc>
          <w:tcPr>
            <w:tcW w:w="185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FFFFFF" w:val="clear"/>
            <w:vAlign w:val="center"/>
          </w:tcPr>
          <w:p>
            <w:pPr>
              <w:pStyle w:val="Style21"/>
              <w:spacing w:before="0" w:after="15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Распределение ответственности и полномочий</w:t>
            </w:r>
          </w:p>
        </w:tc>
      </w:tr>
      <w:tr>
        <w:trPr/>
        <w:tc>
          <w:tcPr>
            <w:tcW w:w="41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FFFFFF" w:val="clear"/>
            <w:vAlign w:val="center"/>
          </w:tcPr>
          <w:p>
            <w:pPr>
              <w:pStyle w:val="Style21"/>
              <w:spacing w:before="0" w:after="15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2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FFFFFF" w:val="clear"/>
            <w:vAlign w:val="center"/>
          </w:tcPr>
          <w:p>
            <w:pPr>
              <w:pStyle w:val="Style21"/>
              <w:spacing w:before="0" w:after="15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</w:tc>
        <w:tc>
          <w:tcPr>
            <w:tcW w:w="202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FFFFFF" w:val="clear"/>
            <w:vAlign w:val="center"/>
          </w:tcPr>
          <w:p>
            <w:pPr>
              <w:pStyle w:val="Style21"/>
              <w:spacing w:before="0" w:after="15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Мониторинг и анализ практики применения антимонопольного законодательства;</w:t>
            </w:r>
          </w:p>
          <w:p>
            <w:pPr>
              <w:pStyle w:val="Style21"/>
              <w:spacing w:before="0" w:after="15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систематическое повышение квалификации;</w:t>
            </w:r>
          </w:p>
          <w:p>
            <w:pPr>
              <w:pStyle w:val="Style21"/>
              <w:spacing w:before="0" w:after="15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анализ изменений в сфере 44-ФЗ от 05.04.2013, контроль за соблюдением требований 44-ФЗ от 05.04.2013</w:t>
            </w:r>
          </w:p>
        </w:tc>
        <w:tc>
          <w:tcPr>
            <w:tcW w:w="170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FFFFFF" w:val="clear"/>
            <w:vAlign w:val="center"/>
          </w:tcPr>
          <w:p>
            <w:pPr>
              <w:pStyle w:val="Style21"/>
              <w:spacing w:before="0" w:after="15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Постоянное повышение квалификации специалистов, работающих в сфере 44-ФЗ от 05.04.2013</w:t>
            </w:r>
          </w:p>
        </w:tc>
        <w:tc>
          <w:tcPr>
            <w:tcW w:w="145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FFFFFF" w:val="clear"/>
            <w:vAlign w:val="center"/>
          </w:tcPr>
          <w:p>
            <w:pPr>
              <w:pStyle w:val="Style21"/>
              <w:spacing w:before="0" w:after="15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85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FFFFFF" w:val="clear"/>
            <w:vAlign w:val="center"/>
          </w:tcPr>
          <w:p>
            <w:pPr>
              <w:pStyle w:val="Style21"/>
              <w:spacing w:before="0" w:after="15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Заместители главы, структурные подразделения администрации</w:t>
            </w:r>
          </w:p>
        </w:tc>
      </w:tr>
      <w:tr>
        <w:trPr/>
        <w:tc>
          <w:tcPr>
            <w:tcW w:w="41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FFFFFF" w:val="clear"/>
            <w:vAlign w:val="center"/>
          </w:tcPr>
          <w:p>
            <w:pPr>
              <w:pStyle w:val="Style21"/>
              <w:spacing w:before="0" w:after="15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2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FFFFFF" w:val="clear"/>
            <w:vAlign w:val="center"/>
          </w:tcPr>
          <w:p>
            <w:pPr>
              <w:pStyle w:val="Style21"/>
              <w:spacing w:before="0" w:after="15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Принятие НПА в сферах деятельности администрации Пограничного муниципального района, содержащих положения, влекущие нарушения антимонопольного законодательства</w:t>
            </w:r>
          </w:p>
        </w:tc>
        <w:tc>
          <w:tcPr>
            <w:tcW w:w="202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FFFFFF" w:val="clear"/>
            <w:vAlign w:val="center"/>
          </w:tcPr>
          <w:p>
            <w:pPr>
              <w:pStyle w:val="Style21"/>
              <w:spacing w:before="0" w:after="15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Обучение муниципальных служащих администрации района; анализ НПА на предмет соответствия требованиям антимонопольного законодательства; постоянный мониторинг действующего законодательства</w:t>
            </w:r>
          </w:p>
        </w:tc>
        <w:tc>
          <w:tcPr>
            <w:tcW w:w="170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FFFFFF" w:val="clear"/>
            <w:vAlign w:val="center"/>
          </w:tcPr>
          <w:p>
            <w:pPr>
              <w:pStyle w:val="Style21"/>
              <w:spacing w:before="0" w:after="15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Повышение уровня квалификации сотрудников администрации района,</w:t>
            </w:r>
          </w:p>
          <w:p>
            <w:pPr>
              <w:pStyle w:val="Style21"/>
              <w:spacing w:before="0" w:after="15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повышение уровня правовой  грамотности</w:t>
            </w:r>
          </w:p>
        </w:tc>
        <w:tc>
          <w:tcPr>
            <w:tcW w:w="145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FFFFFF" w:val="clear"/>
            <w:vAlign w:val="center"/>
          </w:tcPr>
          <w:p>
            <w:pPr>
              <w:pStyle w:val="Style21"/>
              <w:spacing w:before="0" w:after="15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85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FFFFFF" w:val="clear"/>
            <w:vAlign w:val="center"/>
          </w:tcPr>
          <w:p>
            <w:pPr>
              <w:pStyle w:val="Style21"/>
              <w:spacing w:before="0" w:after="15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Заместители главы, структурные подразделения администрации</w:t>
            </w:r>
          </w:p>
        </w:tc>
      </w:tr>
    </w:tbl>
    <w:p>
      <w:pPr>
        <w:pStyle w:val="Style17"/>
        <w:widowControl/>
        <w:spacing w:before="0" w:after="150"/>
        <w:ind w:left="0" w:right="0" w:hanging="0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7"/>
        <w:spacing w:lineRule="auto" w:line="276" w:before="0" w:after="140"/>
        <w:rPr/>
      </w:pPr>
      <w:r>
        <w:rPr/>
      </w:r>
    </w:p>
    <w:sectPr>
      <w:type w:val="nextPage"/>
      <w:pgSz w:w="11906" w:h="16838"/>
      <w:pgMar w:left="1731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OpenSymbol">
    <w:altName w:val="Arial Unicode MS"/>
    <w:charset w:val="02"/>
    <w:family w:val="auto"/>
    <w:pitch w:val="default"/>
  </w:font>
  <w:font w:name="Calibri">
    <w:charset w:val="01"/>
    <w:family w:val="roman"/>
    <w:pitch w:val="default"/>
  </w:font>
  <w:font w:name="Courier New">
    <w:charset w:val="01"/>
    <w:family w:val="roman"/>
    <w:pitch w:val="default"/>
  </w:font>
  <w:font w:name="Arial">
    <w:charset w:val="01"/>
    <w:family w:val="roman"/>
    <w:pitch w:val="default"/>
  </w:font>
  <w:font w:name="Times New Roman">
    <w:charset w:val="01"/>
    <w:family w:val="roman"/>
    <w:pitch w:val="variable"/>
  </w:font>
  <w:font w:name="Roboto">
    <w:altName w:val="sans-serif"/>
    <w:charset w:val="cc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Times New Roman" w:hAnsi="Times New Roman" w:eastAsia="NSimSun" w:cs="Mang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both"/>
      <w:outlineLvl w:val="0"/>
    </w:pPr>
    <w:rPr>
      <w:szCs w:val="20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2">
    <w:name w:val="Основной текст 2"/>
    <w:basedOn w:val="Normal"/>
    <w:qFormat/>
    <w:pPr/>
    <w:rPr>
      <w:b/>
      <w:bCs/>
      <w:sz w:val="24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jc w:val="left"/>
    </w:pPr>
    <w:rPr>
      <w:rFonts w:ascii="Calibri" w:hAnsi="Calibri" w:eastAsia="Times New Roman" w:cs="Calibri"/>
      <w:color w:val="auto"/>
      <w:kern w:val="2"/>
      <w:sz w:val="22"/>
      <w:szCs w:val="20"/>
      <w:lang w:val="ru-RU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124</TotalTime>
  <Application>LibreOffice/6.1.2.1$Windows_x86 LibreOffice_project/65905a128db06ba48db947242809d14d3f9a93fe</Application>
  <Pages>4</Pages>
  <Words>418</Words>
  <Characters>3475</Characters>
  <CharactersWithSpaces>3951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2020-02-20T10:16:51Z</dcterms:created>
  <dc:creator/>
  <dc:description/>
  <dc:language>ru-RU</dc:language>
  <cp:lastModifiedBy/>
  <cp:lastPrinted>2020-02-20T12:35:50Z</cp:lastPrinted>
  <dcterms:modified xsi:type="dcterms:W3CDTF">2020-02-20T14:43:42Z</dcterms:modified>
  <cp:revision>1</cp:revision>
  <dc:subject/>
  <dc:title/>
</cp:coreProperties>
</file>