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426"/>
        <w:jc w:val="right"/>
        <w:rPr>
          <w:b/>
          <w:b/>
          <w:sz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   </w:t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/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ind w:firstLine="426"/>
        <w:jc w:val="center"/>
        <w:outlineLvl w:val="0"/>
        <w:rPr>
          <w:b/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</w:t>
      </w:r>
      <w:r>
        <w:rPr>
          <w:rFonts w:ascii="Tinos" w:hAnsi="Tinos"/>
          <w:sz w:val="26"/>
          <w:szCs w:val="26"/>
        </w:rPr>
        <w:t>02.05.2020</w:t>
      </w:r>
      <w:r>
        <w:rPr>
          <w:rFonts w:ascii="Tinos" w:hAnsi="Tinos"/>
          <w:sz w:val="26"/>
          <w:szCs w:val="26"/>
        </w:rPr>
        <w:t xml:space="preserve">                                         с.Анучино                                     </w:t>
      </w:r>
      <w:r>
        <w:rPr>
          <w:rFonts w:ascii="Tinos" w:hAnsi="Tinos"/>
          <w:sz w:val="26"/>
          <w:szCs w:val="26"/>
        </w:rPr>
        <w:t>№270</w:t>
      </w:r>
      <w:r>
        <w:rPr>
          <w:rFonts w:ascii="Tinos" w:hAnsi="Tinos"/>
          <w:sz w:val="26"/>
          <w:szCs w:val="26"/>
        </w:rPr>
        <w:t xml:space="preserve">         </w:t>
      </w:r>
      <w:r>
        <w:rPr>
          <w:rFonts w:ascii="Tinos" w:hAnsi="Tinos"/>
          <w:sz w:val="26"/>
          <w:szCs w:val="26"/>
          <w:u w:val="single"/>
        </w:rPr>
        <w:t xml:space="preserve">                 </w:t>
      </w:r>
    </w:p>
    <w:p>
      <w:pPr>
        <w:pStyle w:val="Normal"/>
        <w:ind w:firstLine="426"/>
        <w:rPr>
          <w:rFonts w:ascii="Tinos" w:hAnsi="Tinos"/>
          <w:sz w:val="26"/>
          <w:szCs w:val="26"/>
          <w:u w:val="single"/>
        </w:rPr>
      </w:pPr>
      <w:r>
        <w:rPr>
          <w:rFonts w:ascii="Tinos" w:hAnsi="Tinos"/>
          <w:sz w:val="26"/>
          <w:szCs w:val="26"/>
          <w:u w:val="single"/>
        </w:rPr>
      </w:r>
    </w:p>
    <w:p>
      <w:pPr>
        <w:pStyle w:val="Normal"/>
        <w:ind w:firstLine="426"/>
        <w:jc w:val="center"/>
        <w:rPr/>
      </w:pPr>
      <w:r>
        <w:rPr>
          <w:b/>
          <w:sz w:val="28"/>
          <w:szCs w:val="28"/>
        </w:rPr>
        <w:t>О внесении изменений в муниципальную программу «Дорожная деятельность в отношении автомобильных дорог местного значения на территории Анучинского муниципального круга» на 2020-2024 годы, утвержденную постановлением Анучинского муниципального района</w:t>
      </w:r>
    </w:p>
    <w:p>
      <w:pPr>
        <w:pStyle w:val="Normal"/>
        <w:ind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360"/>
        <w:jc w:val="both"/>
        <w:rPr/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В соответствии с пп. 4.2. , 4.3.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«Порядка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b w:val="false"/>
          <w:sz w:val="26"/>
          <w:szCs w:val="26"/>
        </w:rPr>
        <w:t>,</w:t>
      </w:r>
      <w:r>
        <w:rPr>
          <w:b w:val="false"/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b w:val="false"/>
          <w:sz w:val="26"/>
          <w:szCs w:val="26"/>
        </w:rPr>
        <w:t xml:space="preserve"> </w:t>
      </w:r>
      <w:hyperlink r:id="rId3">
        <w:r>
          <w:rPr>
            <w:rStyle w:val="ListLabel20"/>
            <w:b w:val="false"/>
            <w:sz w:val="28"/>
            <w:szCs w:val="28"/>
          </w:rPr>
          <w:t>Уставом</w:t>
        </w:r>
      </w:hyperlink>
      <w:r>
        <w:rPr>
          <w:b w:val="false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 w:before="240" w:after="2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spacing w:lineRule="auto" w:line="36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«Дорожная деятельность в отношении автомобильных дорог местного значения на территории Анучинского муниципального округа» на 2020-2024 годы, утвержденной постановлением Анучинского муниципального района от 30.09.2019 № 542: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1.1.Раздел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ConsPlusNormal"/>
        <w:spacing w:lineRule="auto" w:line="36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средств бюджетных ассигнований на реализацию программы составляет 122 538,47808 тыс. рублей, в том числе: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2020 год – 38292,47808 тыс. рублей,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т.ч.краевой бюджет- 12000,0тыс.руб;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- 21062,0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- 21062,0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- 21061,0 тыс. рублей;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3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2024 год - 21061,0 тыс. рублей.</w:t>
      </w:r>
    </w:p>
    <w:p>
      <w:pPr>
        <w:pStyle w:val="Normal"/>
        <w:spacing w:lineRule="auto" w:line="360"/>
        <w:ind w:firstLine="284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12000,0 тыс. рублей, в том числе: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12000,0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0,0 тыс. рублей;</w:t>
      </w:r>
    </w:p>
    <w:p>
      <w:pPr>
        <w:pStyle w:val="ConsPlusNormal"/>
        <w:numPr>
          <w:ilvl w:val="0"/>
          <w:numId w:val="1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 - 0,0 тыс. рублей</w:t>
      </w:r>
    </w:p>
    <w:p>
      <w:pPr>
        <w:pStyle w:val="ConsPlusNormal"/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 читать в новой редакции (прилагается).</w:t>
      </w:r>
    </w:p>
    <w:p>
      <w:pPr>
        <w:pStyle w:val="NormalWeb"/>
        <w:tabs>
          <w:tab w:val="clear" w:pos="708"/>
          <w:tab w:val="left" w:pos="0" w:leader="none"/>
          <w:tab w:val="left" w:pos="709" w:leader="none"/>
        </w:tabs>
        <w:spacing w:lineRule="auto" w:line="360" w:beforeAutospacing="0" w:before="0" w:after="0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Анучинского </w:t>
      </w:r>
    </w:p>
    <w:p>
      <w:pPr>
        <w:sectPr>
          <w:headerReference w:type="default" r:id="rId4"/>
          <w:type w:val="nextPage"/>
          <w:pgSz w:w="11906" w:h="16838"/>
          <w:pgMar w:left="1701" w:right="849" w:header="709" w:top="766" w:footer="0" w:bottom="56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p>
      <w:pPr>
        <w:pStyle w:val="Normal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3</w:t>
      </w:r>
    </w:p>
    <w:p>
      <w:pPr>
        <w:pStyle w:val="Normal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ее целей средств федерального бюджета, краевого бюджета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муниципальной программы)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5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81"/>
        <w:gridCol w:w="2027"/>
        <w:gridCol w:w="2117"/>
        <w:gridCol w:w="1699"/>
        <w:gridCol w:w="7"/>
        <w:gridCol w:w="740"/>
        <w:gridCol w:w="9"/>
        <w:gridCol w:w="697"/>
        <w:gridCol w:w="8"/>
        <w:gridCol w:w="1264"/>
        <w:gridCol w:w="6"/>
        <w:gridCol w:w="841"/>
        <w:gridCol w:w="6"/>
        <w:gridCol w:w="4"/>
        <w:gridCol w:w="1297"/>
        <w:gridCol w:w="6"/>
        <w:gridCol w:w="948"/>
        <w:gridCol w:w="9"/>
        <w:gridCol w:w="1121"/>
        <w:gridCol w:w="8"/>
        <w:gridCol w:w="1121"/>
        <w:gridCol w:w="10"/>
        <w:gridCol w:w="903"/>
      </w:tblGrid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N п/п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1"/>
                  <w:rFonts w:cs="Times New Roman" w:ascii="Times New Roman" w:hAnsi="Times New Roman"/>
                  <w:color w:val="0000FF"/>
                  <w:szCs w:val="22"/>
                </w:rPr>
                <w:t>&lt;*&gt;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Источник ресурсного обеспечения</w:t>
            </w:r>
          </w:p>
        </w:tc>
        <w:tc>
          <w:tcPr>
            <w:tcW w:w="3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 бюджетной классификации</w:t>
            </w:r>
          </w:p>
        </w:tc>
        <w:tc>
          <w:tcPr>
            <w:tcW w:w="5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Оценка расходов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ГРБС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Рз Пр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ВР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очередной финансовый год (2020)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первый год планового периода (2021)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второй год планового периода (2022)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третий год планового периода (2023)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четвертый год планового периода (2024)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397" w:firstLine="283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left" w:pos="504" w:leader="none"/>
              </w:tabs>
              <w:bidi w:val="0"/>
              <w:ind w:left="0" w:right="510" w:firstLine="510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всего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1000120470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27 124,97808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19562,0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16562,0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19561,0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16561,0</w:t>
            </w:r>
          </w:p>
        </w:tc>
      </w:tr>
      <w:tr>
        <w:trPr>
          <w:trHeight w:val="11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краевой 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1000192390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12000,0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10001120470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15124,97808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19562,0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16562,0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19561,0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16561,0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397" w:firstLine="283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Повышение безопасности дорожного движения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всего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1000120480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1000120480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397" w:firstLine="283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всего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1000120490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1000120490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397" w:firstLine="283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всего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1000120500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8667,500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0409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1000120500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244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8667,500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  <w:tr>
        <w:trPr/>
        <w:tc>
          <w:tcPr>
            <w:tcW w:w="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Демонтаж моста через реку Арсеньевка с Шекляево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всего</w:t>
            </w:r>
          </w:p>
        </w:tc>
        <w:tc>
          <w:tcPr>
            <w:tcW w:w="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  <w:b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900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  <w:b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0409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  <w:b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1000121500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nos" w:hAnsi="Tinos"/>
                <w:b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244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b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1000,00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900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0409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1000121500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1000,00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38292,47808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21062,0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21062,0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21061,0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21061,0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885"/>
      <w:bookmarkEnd w:id="0"/>
      <w:r>
        <w:rPr>
          <w:rFonts w:cs="Times New Roman" w:ascii="Times New Roman" w:hAnsi="Times New Roman"/>
          <w:sz w:val="18"/>
          <w:szCs w:val="18"/>
        </w:rPr>
        <w:t>&lt;*&gt; - главный распорядитель бюджетных средств.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665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5"/>
      </w:tblGrid>
      <w:tr>
        <w:trPr>
          <w:trHeight w:val="405" w:hRule="exact"/>
        </w:trPr>
        <w:tc>
          <w:tcPr>
            <w:tcW w:w="6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orient="landscape" w:w="16838" w:h="11906"/>
      <w:pgMar w:left="851" w:right="1134" w:header="709" w:top="993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nos">
    <w:charset w:val="01"/>
    <w:family w:val="auto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f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9536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56547"/>
    <w:rPr/>
  </w:style>
  <w:style w:type="character" w:styleId="Style16" w:customStyle="1">
    <w:name w:val="Нижний колонтитул Знак"/>
    <w:basedOn w:val="DefaultParagraphFont"/>
    <w:link w:val="a7"/>
    <w:qFormat/>
    <w:rsid w:val="00c56547"/>
    <w:rPr/>
  </w:style>
  <w:style w:type="character" w:styleId="Style17" w:customStyle="1">
    <w:name w:val="Абзац списка Знак"/>
    <w:link w:val="a9"/>
    <w:uiPriority w:val="34"/>
    <w:qFormat/>
    <w:locked/>
    <w:rsid w:val="00a8450c"/>
    <w:rPr>
      <w:sz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e0a62"/>
    <w:rPr>
      <w:sz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ae0a62"/>
    <w:rPr>
      <w:sz w:val="24"/>
    </w:rPr>
  </w:style>
  <w:style w:type="character" w:styleId="Style18" w:customStyle="1">
    <w:name w:val="Основной текст Знак"/>
    <w:basedOn w:val="DefaultParagraphFont"/>
    <w:link w:val="ac"/>
    <w:qFormat/>
    <w:rsid w:val="00da5dd3"/>
    <w:rPr/>
  </w:style>
  <w:style w:type="character" w:styleId="Style19" w:customStyle="1">
    <w:name w:val="Основной текст с отступом Знак"/>
    <w:basedOn w:val="DefaultParagraphFont"/>
    <w:link w:val="af"/>
    <w:qFormat/>
    <w:rsid w:val="004e708d"/>
    <w:rPr/>
  </w:style>
  <w:style w:type="character" w:styleId="Style20">
    <w:name w:val="Интернет-ссылка"/>
    <w:rsid w:val="00651c12"/>
    <w:rPr>
      <w:color w:val="0000FF"/>
      <w:u w:val="single"/>
    </w:rPr>
  </w:style>
  <w:style w:type="character" w:styleId="Style21" w:customStyle="1">
    <w:name w:val="Обычный (веб) Знак"/>
    <w:link w:val="af3"/>
    <w:qFormat/>
    <w:rsid w:val="00eb221c"/>
    <w:rPr>
      <w:sz w:val="24"/>
      <w:szCs w:val="24"/>
    </w:rPr>
  </w:style>
  <w:style w:type="character" w:styleId="Style22" w:customStyle="1">
    <w:name w:val="Гипертекстовая ссылка"/>
    <w:basedOn w:val="DefaultParagraphFont"/>
    <w:uiPriority w:val="99"/>
    <w:qFormat/>
    <w:rsid w:val="001f6ea5"/>
    <w:rPr>
      <w:color w:val="106BBE"/>
    </w:rPr>
  </w:style>
  <w:style w:type="character" w:styleId="ListLabel1">
    <w:name w:val="ListLabel 1"/>
    <w:qFormat/>
    <w:rPr>
      <w:rFonts w:cs="Times New Roman"/>
      <w:sz w:val="26"/>
      <w:szCs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  <w:szCs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b w:val="false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color w:val="0000FF"/>
      <w:szCs w:val="22"/>
    </w:rPr>
  </w:style>
  <w:style w:type="character" w:styleId="ListLabel22">
    <w:name w:val="ListLabel 22"/>
    <w:qFormat/>
    <w:rPr>
      <w:b w:val="false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styleId="ListLabel24">
    <w:name w:val="ListLabel 24"/>
    <w:qFormat/>
    <w:rPr>
      <w:b w:val="false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styleId="ListLabel26">
    <w:name w:val="ListLabel 26"/>
    <w:qFormat/>
    <w:rPr>
      <w:b w:val="false"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styleId="ListLabel28">
    <w:name w:val="ListLabel 28"/>
    <w:qFormat/>
    <w:rPr>
      <w:b w:val="false"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link w:val="ad"/>
    <w:rsid w:val="00da5dd3"/>
    <w:pPr>
      <w:spacing w:before="0" w:after="12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qFormat/>
    <w:rsid w:val="00e9536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fd47ec"/>
    <w:pPr>
      <w:widowControl w:val="false"/>
      <w:bidi w:val="0"/>
      <w:jc w:val="left"/>
    </w:pPr>
    <w:rPr>
      <w:rFonts w:ascii="Times New Roman" w:hAnsi="Times New Roman" w:eastAsia="Courier New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Header"/>
    <w:basedOn w:val="Normal"/>
    <w:link w:val="a6"/>
    <w:uiPriority w:val="99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a8450c"/>
    <w:pPr>
      <w:spacing w:before="0" w:after="0"/>
      <w:ind w:left="720" w:hanging="0"/>
      <w:contextualSpacing/>
    </w:pPr>
    <w:rPr>
      <w:sz w:val="24"/>
    </w:rPr>
  </w:style>
  <w:style w:type="paragraph" w:styleId="BodyTextIndent2">
    <w:name w:val="Body Text Indent 2"/>
    <w:basedOn w:val="Normal"/>
    <w:link w:val="20"/>
    <w:qFormat/>
    <w:rsid w:val="00ae0a62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qFormat/>
    <w:rsid w:val="00ae0a62"/>
    <w:pPr>
      <w:ind w:right="567" w:firstLine="720"/>
      <w:jc w:val="both"/>
    </w:pPr>
    <w:rPr>
      <w:sz w:val="24"/>
    </w:rPr>
  </w:style>
  <w:style w:type="paragraph" w:styleId="ConsPlusNormal" w:customStyle="1">
    <w:name w:val="ConsPlusNormal"/>
    <w:qFormat/>
    <w:rsid w:val="0001377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da5dd3"/>
    <w:pPr>
      <w:widowControl w:val="false"/>
      <w:suppressLineNumbers/>
      <w:suppressAutoHyphens w:val="true"/>
    </w:pPr>
    <w:rPr>
      <w:rFonts w:eastAsia="Andale Sans UI"/>
      <w:kern w:val="2"/>
      <w:sz w:val="24"/>
      <w:szCs w:val="24"/>
    </w:rPr>
  </w:style>
  <w:style w:type="paragraph" w:styleId="Style31">
    <w:name w:val="Body Text Indent"/>
    <w:basedOn w:val="Normal"/>
    <w:link w:val="af0"/>
    <w:rsid w:val="004e708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51c1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ar-SA" w:bidi="ar-SA"/>
    </w:rPr>
  </w:style>
  <w:style w:type="paragraph" w:styleId="ConsPlusCell" w:customStyle="1">
    <w:name w:val="ConsPlusCell"/>
    <w:qFormat/>
    <w:rsid w:val="00c111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link w:val="af4"/>
    <w:qFormat/>
    <w:rsid w:val="00eb221c"/>
    <w:pPr>
      <w:spacing w:beforeAutospacing="1" w:after="119"/>
    </w:pPr>
    <w:rPr>
      <w:sz w:val="24"/>
      <w:szCs w:val="24"/>
    </w:rPr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815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ED8C-2F24-4699-B69B-8C07208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103</TotalTime>
  <Application>LibreOffice/6.2.8.2$Linux_X86_64 LibreOffice_project/20$Build-2</Application>
  <Pages>4</Pages>
  <Words>666</Words>
  <Characters>4679</Characters>
  <CharactersWithSpaces>5346</CharactersWithSpaces>
  <Paragraphs>197</Paragraphs>
  <Company>Администрация г.Ханты-Мансийск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2019-12-24T05:58:00Z</dcterms:created>
  <dc:creator>Белякова Галина Николаевна</dc:creator>
  <dc:description/>
  <dc:language>ru-RU</dc:language>
  <cp:lastModifiedBy/>
  <cp:lastPrinted>2020-04-24T14:58:15Z</cp:lastPrinted>
  <dcterms:modified xsi:type="dcterms:W3CDTF">2020-05-06T10:33:44Z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