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A188" w14:textId="77777777" w:rsidR="00721018" w:rsidRDefault="00A11A0F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4CB6F749" wp14:editId="22397FD1">
            <wp:extent cx="638175" cy="904875"/>
            <wp:effectExtent l="0" t="0" r="9525" b="9525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AB49" w14:textId="77777777" w:rsidR="00721018" w:rsidRDefault="00721018">
      <w:pPr>
        <w:shd w:val="clear" w:color="auto" w:fill="FFFFFF"/>
        <w:jc w:val="center"/>
        <w:rPr>
          <w:color w:val="000000"/>
          <w:sz w:val="10"/>
        </w:rPr>
      </w:pPr>
    </w:p>
    <w:p w14:paraId="4B14D0EE" w14:textId="77777777" w:rsidR="00721018" w:rsidRDefault="00721018">
      <w:pPr>
        <w:shd w:val="clear" w:color="auto" w:fill="FFFFFF"/>
        <w:jc w:val="center"/>
        <w:rPr>
          <w:color w:val="000000"/>
          <w:sz w:val="10"/>
        </w:rPr>
      </w:pPr>
    </w:p>
    <w:p w14:paraId="78A02A40" w14:textId="77777777" w:rsidR="00721018" w:rsidRDefault="00A11A0F">
      <w:pPr>
        <w:pStyle w:val="20"/>
        <w:jc w:val="center"/>
      </w:pPr>
      <w:r>
        <w:rPr>
          <w:sz w:val="32"/>
        </w:rPr>
        <w:t>АДМИНИСТРАЦИЯ</w:t>
      </w:r>
    </w:p>
    <w:p w14:paraId="3381D9C1" w14:textId="77777777" w:rsidR="00721018" w:rsidRDefault="00A11A0F">
      <w:pPr>
        <w:pStyle w:val="20"/>
        <w:jc w:val="center"/>
      </w:pPr>
      <w:r>
        <w:rPr>
          <w:sz w:val="32"/>
        </w:rPr>
        <w:t>АНУЧИНСКОГО МУНИЦИПАЛЬНОГО ОКРУГА</w:t>
      </w:r>
    </w:p>
    <w:p w14:paraId="178B885F" w14:textId="77777777" w:rsidR="00721018" w:rsidRDefault="00A11A0F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5EFB7462" w14:textId="77777777" w:rsidR="00721018" w:rsidRDefault="00A11A0F">
      <w:pPr>
        <w:pStyle w:val="1"/>
        <w:jc w:val="center"/>
      </w:pPr>
      <w:r>
        <w:rPr>
          <w:sz w:val="28"/>
        </w:rPr>
        <w:t>П О С Т А Н О В Л Е Н И Е</w:t>
      </w:r>
    </w:p>
    <w:p w14:paraId="6FACC591" w14:textId="77777777" w:rsidR="00721018" w:rsidRDefault="00721018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52243014" w14:textId="77777777" w:rsidR="00721018" w:rsidRDefault="00721018">
      <w:pPr>
        <w:shd w:val="clear" w:color="auto" w:fill="FFFFFF"/>
        <w:tabs>
          <w:tab w:val="left" w:pos="5151"/>
        </w:tabs>
        <w:rPr>
          <w:rFonts w:ascii="Arial" w:hAnsi="Arial"/>
          <w:sz w:val="28"/>
        </w:rPr>
      </w:pPr>
    </w:p>
    <w:p w14:paraId="51555864" w14:textId="6D3A717B" w:rsidR="00721018" w:rsidRDefault="006D4597">
      <w:pPr>
        <w:shd w:val="clear" w:color="auto" w:fill="FFFFFF"/>
        <w:jc w:val="both"/>
        <w:rPr>
          <w:color w:val="000000"/>
          <w:sz w:val="24"/>
          <w:u w:val="single"/>
        </w:rPr>
      </w:pPr>
      <w:r>
        <w:rPr>
          <w:color w:val="000000"/>
        </w:rPr>
        <w:t>08.07.2024г.</w:t>
      </w:r>
      <w:r w:rsidR="00A11A0F">
        <w:rPr>
          <w:color w:val="000000"/>
        </w:rPr>
        <w:t xml:space="preserve">                                 с. Анучино          </w:t>
      </w:r>
      <w:r w:rsidR="00A11A0F">
        <w:rPr>
          <w:rFonts w:ascii="Arial" w:hAnsi="Arial"/>
          <w:color w:val="000000"/>
        </w:rPr>
        <w:t xml:space="preserve">                        </w:t>
      </w:r>
      <w:r>
        <w:rPr>
          <w:rFonts w:ascii="Arial" w:hAnsi="Arial"/>
          <w:color w:val="000000"/>
        </w:rPr>
        <w:t xml:space="preserve">  </w:t>
      </w:r>
      <w:r w:rsidR="00A11A0F">
        <w:rPr>
          <w:rFonts w:ascii="Arial" w:hAnsi="Arial"/>
          <w:color w:val="000000"/>
        </w:rPr>
        <w:t xml:space="preserve">       </w:t>
      </w:r>
      <w:r w:rsidR="00A11A0F">
        <w:rPr>
          <w:color w:val="000000"/>
        </w:rPr>
        <w:t>№</w:t>
      </w:r>
      <w:r w:rsidR="00A11A0F">
        <w:rPr>
          <w:color w:val="000000"/>
        </w:rPr>
        <w:softHyphen/>
      </w:r>
      <w:r w:rsidR="00830EE5">
        <w:rPr>
          <w:color w:val="000000"/>
        </w:rPr>
        <w:t xml:space="preserve"> </w:t>
      </w:r>
      <w:r>
        <w:rPr>
          <w:color w:val="000000"/>
        </w:rPr>
        <w:t>636-НПА</w:t>
      </w:r>
    </w:p>
    <w:p w14:paraId="522CC819" w14:textId="77777777" w:rsidR="00721018" w:rsidRDefault="00721018">
      <w:pPr>
        <w:jc w:val="both"/>
        <w:rPr>
          <w:sz w:val="16"/>
          <w:szCs w:val="16"/>
        </w:rPr>
      </w:pPr>
    </w:p>
    <w:p w14:paraId="1B0543C5" w14:textId="77777777" w:rsidR="00721018" w:rsidRDefault="00721018">
      <w:pPr>
        <w:jc w:val="both"/>
        <w:rPr>
          <w:sz w:val="28"/>
        </w:rPr>
      </w:pPr>
    </w:p>
    <w:p w14:paraId="3405AA7E" w14:textId="77777777" w:rsidR="00721018" w:rsidRDefault="00A11A0F">
      <w:pPr>
        <w:pStyle w:val="2"/>
        <w:keepNext w:val="0"/>
        <w:autoSpaceDE w:val="0"/>
        <w:autoSpaceDN w:val="0"/>
        <w:adjustRightInd w:val="0"/>
        <w:rPr>
          <w:rFonts w:eastAsiaTheme="minorHAnsi"/>
          <w:sz w:val="28"/>
        </w:rPr>
      </w:pPr>
      <w:bookmarkStart w:id="0" w:name="__DdeLink__51_17733904721"/>
      <w:bookmarkStart w:id="1" w:name="__DdeLink__51_1773390472"/>
      <w:bookmarkStart w:id="2" w:name="__DdeLink__86_1562492663"/>
      <w:bookmarkEnd w:id="0"/>
      <w:bookmarkEnd w:id="1"/>
      <w:r>
        <w:rPr>
          <w:sz w:val="28"/>
        </w:rPr>
        <w:t xml:space="preserve">О внесении изменений </w:t>
      </w:r>
      <w:bookmarkEnd w:id="2"/>
      <w:r>
        <w:rPr>
          <w:sz w:val="28"/>
        </w:rPr>
        <w:t xml:space="preserve">в </w:t>
      </w:r>
      <w:bookmarkStart w:id="3" w:name="_Hlk170295660"/>
      <w:r>
        <w:rPr>
          <w:sz w:val="28"/>
        </w:rPr>
        <w:t xml:space="preserve"> постановление  администрации Анучинского муниципального округа от 21.01.2022 №32 -НПА «Об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 в ведении органов местного самоуправления или в собственности муниципального образования</w:t>
      </w:r>
      <w:bookmarkEnd w:id="3"/>
    </w:p>
    <w:p w14:paraId="586A7A04" w14:textId="77777777" w:rsidR="00721018" w:rsidRDefault="00721018">
      <w:pPr>
        <w:jc w:val="center"/>
        <w:rPr>
          <w:b/>
          <w:sz w:val="28"/>
        </w:rPr>
      </w:pPr>
      <w:bookmarkStart w:id="4" w:name="__DdeLink__55_960467991"/>
      <w:bookmarkEnd w:id="4"/>
    </w:p>
    <w:p w14:paraId="07D7C7EB" w14:textId="76205F1D" w:rsidR="00721018" w:rsidRDefault="00A11A0F">
      <w:pPr>
        <w:spacing w:line="360" w:lineRule="auto"/>
        <w:jc w:val="both"/>
      </w:pPr>
      <w:r>
        <w:rPr>
          <w:sz w:val="28"/>
        </w:rPr>
        <w:tab/>
        <w:t xml:space="preserve">В соответствии со ст. 39.11, ст. 39.12, ст. 39.13 Земельного кодекса Российской Федерации, </w:t>
      </w:r>
      <w:bookmarkStart w:id="5" w:name="_GoBack"/>
      <w:bookmarkEnd w:id="5"/>
      <w:r>
        <w:rPr>
          <w:rFonts w:eastAsia="Calibri"/>
          <w:sz w:val="28"/>
        </w:rPr>
        <w:t>руководствуясь</w:t>
      </w:r>
      <w:r>
        <w:rPr>
          <w:sz w:val="28"/>
        </w:rPr>
        <w:t xml:space="preserve"> Уставом</w:t>
      </w:r>
      <w:bookmarkStart w:id="6" w:name="__DdeLink__112_1348858819"/>
      <w:r>
        <w:rPr>
          <w:rFonts w:eastAsia="Calibri"/>
          <w:sz w:val="28"/>
        </w:rPr>
        <w:t xml:space="preserve"> Анучинского муниципальном округа</w:t>
      </w:r>
      <w:bookmarkEnd w:id="6"/>
      <w:r>
        <w:rPr>
          <w:rFonts w:eastAsia="Calibri"/>
          <w:sz w:val="28"/>
        </w:rPr>
        <w:t xml:space="preserve"> Приморского края</w:t>
      </w:r>
      <w:r>
        <w:rPr>
          <w:sz w:val="28"/>
        </w:rPr>
        <w:t xml:space="preserve">, администрация Анучинского муниципального округа Приморского края </w:t>
      </w:r>
    </w:p>
    <w:p w14:paraId="7C1D3B63" w14:textId="77777777" w:rsidR="00721018" w:rsidRDefault="00721018">
      <w:pPr>
        <w:ind w:left="-284" w:firstLine="284"/>
        <w:jc w:val="both"/>
        <w:rPr>
          <w:rFonts w:eastAsia="Calibri"/>
          <w:sz w:val="28"/>
        </w:rPr>
      </w:pPr>
    </w:p>
    <w:p w14:paraId="087C4DF0" w14:textId="77777777" w:rsidR="00721018" w:rsidRDefault="00A11A0F">
      <w:pPr>
        <w:pStyle w:val="a4"/>
        <w:tabs>
          <w:tab w:val="left" w:pos="708"/>
        </w:tabs>
        <w:spacing w:line="360" w:lineRule="auto"/>
      </w:pPr>
      <w:r>
        <w:rPr>
          <w:bCs/>
          <w:sz w:val="28"/>
        </w:rPr>
        <w:t>ПОСТАНОВЛЯЕТ:</w:t>
      </w:r>
    </w:p>
    <w:p w14:paraId="23C6A52A" w14:textId="77777777" w:rsidR="00721018" w:rsidRDefault="00721018">
      <w:pPr>
        <w:jc w:val="both"/>
        <w:rPr>
          <w:rFonts w:eastAsia="Calibri"/>
          <w:sz w:val="28"/>
        </w:rPr>
      </w:pPr>
    </w:p>
    <w:p w14:paraId="16BAFFD9" w14:textId="77777777" w:rsidR="00721018" w:rsidRDefault="00A11A0F">
      <w:pPr>
        <w:numPr>
          <w:ilvl w:val="0"/>
          <w:numId w:val="1"/>
        </w:numPr>
        <w:spacing w:line="360" w:lineRule="auto"/>
        <w:ind w:left="8" w:firstLineChars="250" w:firstLine="700"/>
        <w:jc w:val="both"/>
        <w:rPr>
          <w:sz w:val="28"/>
        </w:rPr>
      </w:pPr>
      <w:r>
        <w:rPr>
          <w:sz w:val="28"/>
        </w:rPr>
        <w:t>Внести в регламент предоставления муниципальной услуги «Проведение аукциона  по продаже земельного участка или аукциона на  право заключения договора аренды земельного участка, находящегося в ведении органов  местного самоуправления или в собственности  муниципального образования»</w:t>
      </w:r>
      <w:r w:rsidRPr="006D4597">
        <w:rPr>
          <w:sz w:val="28"/>
        </w:rPr>
        <w:t xml:space="preserve"> (</w:t>
      </w:r>
      <w:r>
        <w:rPr>
          <w:sz w:val="28"/>
        </w:rPr>
        <w:t>далее Регламент) утверждённого постановлением администрации Анучинского муниципального округа Приморского края от 21.01.2022 г. № 32 следующие изменения:</w:t>
      </w:r>
    </w:p>
    <w:p w14:paraId="1EF5D52A" w14:textId="77777777" w:rsidR="00721018" w:rsidRDefault="00A11A0F">
      <w:pPr>
        <w:spacing w:line="360" w:lineRule="auto"/>
        <w:ind w:firstLine="708"/>
        <w:jc w:val="both"/>
        <w:rPr>
          <w:rFonts w:eastAsia="Arial"/>
          <w:color w:val="222222"/>
          <w:sz w:val="28"/>
          <w:shd w:val="clear" w:color="auto" w:fill="FFFFFF"/>
        </w:rPr>
      </w:pPr>
      <w:r>
        <w:rPr>
          <w:sz w:val="28"/>
        </w:rPr>
        <w:lastRenderedPageBreak/>
        <w:t xml:space="preserve"> Абзац 5 подпункта 17.3 пункта 17 раздела 3 Регламента изложить в новой редакции: Протокол рассмотрения заявок на участие в аукционе подписывается организатором аукциона и размещается на официальном сайте</w:t>
      </w:r>
      <w:r w:rsidRPr="006D4597">
        <w:rPr>
          <w:sz w:val="28"/>
        </w:rPr>
        <w:t xml:space="preserve"> - </w:t>
      </w:r>
      <w:r>
        <w:rPr>
          <w:rFonts w:eastAsia="Arial"/>
          <w:color w:val="222222"/>
          <w:sz w:val="28"/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приёма документов.</w:t>
      </w:r>
    </w:p>
    <w:p w14:paraId="57FF81FA" w14:textId="77777777" w:rsidR="00721018" w:rsidRDefault="00A11A0F">
      <w:pPr>
        <w:spacing w:line="360" w:lineRule="auto"/>
        <w:ind w:firstLine="708"/>
        <w:jc w:val="both"/>
        <w:rPr>
          <w:rFonts w:eastAsia="Arial"/>
          <w:color w:val="222222"/>
          <w:sz w:val="28"/>
          <w:shd w:val="clear" w:color="auto" w:fill="FFFFFF"/>
        </w:rPr>
      </w:pPr>
      <w:r>
        <w:rPr>
          <w:sz w:val="28"/>
        </w:rPr>
        <w:t xml:space="preserve">Дополнить подпункт 17.5 пункта 17 раздела 3 Регламента абзацем следующего </w:t>
      </w:r>
      <w:proofErr w:type="gramStart"/>
      <w:r>
        <w:rPr>
          <w:sz w:val="28"/>
        </w:rPr>
        <w:t>содержания :</w:t>
      </w:r>
      <w:proofErr w:type="gramEnd"/>
    </w:p>
    <w:p w14:paraId="002A25DF" w14:textId="77777777" w:rsidR="00721018" w:rsidRDefault="00A11A0F">
      <w:pPr>
        <w:spacing w:line="360" w:lineRule="auto"/>
        <w:jc w:val="both"/>
        <w:rPr>
          <w:rFonts w:eastAsia="SimSun"/>
          <w:color w:val="000000"/>
          <w:sz w:val="28"/>
          <w:shd w:val="clear" w:color="auto" w:fill="FFFFFF"/>
        </w:rPr>
      </w:pPr>
      <w:r>
        <w:rPr>
          <w:sz w:val="28"/>
        </w:rPr>
        <w:t>- «</w:t>
      </w:r>
      <w:r>
        <w:rPr>
          <w:rFonts w:eastAsia="SimSun"/>
          <w:color w:val="000000"/>
          <w:sz w:val="28"/>
          <w:shd w:val="clear" w:color="auto" w:fill="FFFFFF"/>
        </w:rPr>
        <w:t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 </w:t>
      </w:r>
      <w:hyperlink r:id="rId6" w:anchor="dst689" w:history="1">
        <w:r>
          <w:rPr>
            <w:rStyle w:val="a3"/>
            <w:rFonts w:eastAsia="SimSun"/>
            <w:color w:val="1A0DAB"/>
            <w:sz w:val="28"/>
            <w:shd w:val="clear" w:color="auto" w:fill="FFFFFF"/>
          </w:rPr>
          <w:t>пунктом 13</w:t>
        </w:r>
      </w:hyperlink>
      <w:r>
        <w:rPr>
          <w:rFonts w:eastAsia="SimSun"/>
          <w:color w:val="000000"/>
          <w:sz w:val="28"/>
          <w:shd w:val="clear" w:color="auto" w:fill="FFFFFF"/>
        </w:rPr>
        <w:t>, </w:t>
      </w:r>
      <w:hyperlink r:id="rId7" w:anchor="dst690" w:history="1">
        <w:r>
          <w:rPr>
            <w:rStyle w:val="a3"/>
            <w:rFonts w:eastAsia="SimSun"/>
            <w:color w:val="1A0DAB"/>
            <w:sz w:val="28"/>
            <w:shd w:val="clear" w:color="auto" w:fill="FFFFFF"/>
          </w:rPr>
          <w:t>14</w:t>
        </w:r>
      </w:hyperlink>
      <w:r>
        <w:rPr>
          <w:rFonts w:eastAsia="SimSun"/>
          <w:color w:val="000000"/>
          <w:sz w:val="28"/>
          <w:shd w:val="clear" w:color="auto" w:fill="FFFFFF"/>
        </w:rPr>
        <w:t>, </w:t>
      </w:r>
      <w:hyperlink r:id="rId8" w:anchor="dst702" w:history="1">
        <w:r>
          <w:rPr>
            <w:rStyle w:val="a3"/>
            <w:rFonts w:eastAsia="SimSun"/>
            <w:color w:val="1A0DAB"/>
            <w:sz w:val="28"/>
            <w:shd w:val="clear" w:color="auto" w:fill="FFFFFF"/>
          </w:rPr>
          <w:t>20</w:t>
        </w:r>
      </w:hyperlink>
      <w:r>
        <w:rPr>
          <w:rFonts w:eastAsia="SimSun"/>
          <w:color w:val="000000"/>
          <w:sz w:val="28"/>
          <w:shd w:val="clear" w:color="auto" w:fill="FFFFFF"/>
        </w:rPr>
        <w:t> и </w:t>
      </w:r>
      <w:hyperlink r:id="rId9" w:anchor="dst101232" w:history="1">
        <w:r>
          <w:rPr>
            <w:rStyle w:val="a3"/>
            <w:rFonts w:eastAsia="SimSun"/>
            <w:color w:val="1A0DAB"/>
            <w:sz w:val="28"/>
            <w:shd w:val="clear" w:color="auto" w:fill="FFFFFF"/>
          </w:rPr>
          <w:t>25</w:t>
        </w:r>
      </w:hyperlink>
      <w:r>
        <w:rPr>
          <w:rFonts w:eastAsia="SimSun"/>
          <w:color w:val="000000"/>
          <w:sz w:val="28"/>
          <w:shd w:val="clear" w:color="auto" w:fill="FFFFFF"/>
        </w:rPr>
        <w:t> настоящей статьи,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 </w:t>
      </w:r>
      <w:hyperlink r:id="rId10" w:anchor="dst2459" w:history="1">
        <w:r>
          <w:rPr>
            <w:rStyle w:val="a3"/>
            <w:rFonts w:eastAsia="SimSun"/>
            <w:color w:val="1A0DAB"/>
            <w:sz w:val="28"/>
            <w:shd w:val="clear" w:color="auto" w:fill="FFFFFF"/>
          </w:rPr>
          <w:t>пунктом 5 статьи 39.13</w:t>
        </w:r>
      </w:hyperlink>
      <w:r>
        <w:rPr>
          <w:rFonts w:eastAsia="SimSun"/>
          <w:color w:val="000000"/>
          <w:sz w:val="28"/>
          <w:shd w:val="clear" w:color="auto" w:fill="FFFFFF"/>
        </w:rPr>
        <w:t> настоящего Кодекса».</w:t>
      </w:r>
    </w:p>
    <w:p w14:paraId="6BFB8B84" w14:textId="77777777" w:rsidR="00721018" w:rsidRDefault="00A11A0F">
      <w:pPr>
        <w:spacing w:line="360" w:lineRule="auto"/>
        <w:ind w:firstLine="708"/>
        <w:jc w:val="both"/>
        <w:rPr>
          <w:rFonts w:eastAsia="Arial"/>
          <w:color w:val="222222"/>
          <w:sz w:val="28"/>
          <w:shd w:val="clear" w:color="auto" w:fill="FFFFFF"/>
        </w:rPr>
      </w:pPr>
      <w:r>
        <w:rPr>
          <w:sz w:val="28"/>
        </w:rPr>
        <w:t>Дополнить пункт 18 раздела 3 Регламента абзацами следующего содержания</w:t>
      </w:r>
      <w:proofErr w:type="gramStart"/>
      <w:r>
        <w:rPr>
          <w:sz w:val="28"/>
        </w:rPr>
        <w:t>» :</w:t>
      </w:r>
      <w:proofErr w:type="gramEnd"/>
    </w:p>
    <w:p w14:paraId="2C2426F0" w14:textId="77777777" w:rsidR="00721018" w:rsidRDefault="00A11A0F">
      <w:pPr>
        <w:spacing w:line="360" w:lineRule="auto"/>
        <w:jc w:val="both"/>
        <w:rPr>
          <w:rFonts w:eastAsia="SimSun"/>
          <w:color w:val="000000"/>
          <w:sz w:val="30"/>
          <w:szCs w:val="30"/>
          <w:shd w:val="clear" w:color="auto" w:fill="FFFFFF"/>
        </w:rPr>
      </w:pPr>
      <w:r>
        <w:rPr>
          <w:sz w:val="28"/>
        </w:rPr>
        <w:t>- «</w:t>
      </w:r>
      <w:r>
        <w:rPr>
          <w:rFonts w:eastAsia="SimSun"/>
          <w:color w:val="000000"/>
          <w:sz w:val="30"/>
          <w:szCs w:val="30"/>
          <w:shd w:val="clear" w:color="auto" w:fill="FFFFFF"/>
        </w:rPr>
        <w:t>Аукцион по продаже земельного участка, находящегося в государственной или муниципальной собственности, аукцион на право заключения договора аренды земельного участка, находящегося в государственной или муниципальной собственности, проводятся в электронной форме (электронный аукцион), за исключением случаев, предусмотренных федеральным законом.</w:t>
      </w:r>
    </w:p>
    <w:p w14:paraId="01F6A147" w14:textId="77777777" w:rsidR="00721018" w:rsidRDefault="00A11A0F">
      <w:pPr>
        <w:spacing w:line="360" w:lineRule="auto"/>
        <w:jc w:val="both"/>
        <w:rPr>
          <w:rFonts w:eastAsia="SimSun"/>
          <w:color w:val="000000"/>
          <w:sz w:val="30"/>
          <w:szCs w:val="30"/>
          <w:shd w:val="clear" w:color="auto" w:fill="FFFFFF"/>
        </w:rPr>
      </w:pPr>
      <w:r>
        <w:rPr>
          <w:rFonts w:eastAsia="SimSun"/>
          <w:color w:val="000000"/>
          <w:sz w:val="30"/>
          <w:szCs w:val="30"/>
          <w:shd w:val="clear" w:color="auto" w:fill="FFFFFF"/>
        </w:rPr>
        <w:t xml:space="preserve">- 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</w:t>
      </w:r>
      <w:r>
        <w:rPr>
          <w:rFonts w:eastAsia="SimSun"/>
          <w:color w:val="000000"/>
          <w:sz w:val="30"/>
          <w:szCs w:val="30"/>
          <w:shd w:val="clear" w:color="auto" w:fill="FFFFFF"/>
        </w:rPr>
        <w:lastRenderedPageBreak/>
        <w:t>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D95DD55" w14:textId="77777777" w:rsidR="00721018" w:rsidRDefault="00A11A0F">
      <w:pPr>
        <w:spacing w:line="360" w:lineRule="auto"/>
        <w:jc w:val="both"/>
        <w:rPr>
          <w:rFonts w:eastAsia="SimSun"/>
          <w:color w:val="000000"/>
          <w:sz w:val="30"/>
          <w:szCs w:val="30"/>
          <w:shd w:val="clear" w:color="auto" w:fill="FFFFFF"/>
        </w:rPr>
      </w:pPr>
      <w:r>
        <w:rPr>
          <w:rFonts w:eastAsia="SimSun"/>
          <w:color w:val="000000"/>
          <w:sz w:val="30"/>
          <w:szCs w:val="30"/>
          <w:shd w:val="clear" w:color="auto" w:fill="FFFFFF"/>
        </w:rPr>
        <w:t>- Уполномоченный орган обязан в течение пяти дней со дня истечения срока, предусмотренного </w:t>
      </w:r>
      <w:hyperlink r:id="rId11" w:anchor="dst2465" w:history="1">
        <w:r>
          <w:rPr>
            <w:rStyle w:val="a3"/>
            <w:rFonts w:eastAsia="SimSun"/>
            <w:color w:val="1A0DAB"/>
            <w:sz w:val="30"/>
            <w:szCs w:val="30"/>
            <w:shd w:val="clear" w:color="auto" w:fill="FFFFFF"/>
          </w:rPr>
          <w:t>пунктом 11</w:t>
        </w:r>
      </w:hyperlink>
      <w:r>
        <w:rPr>
          <w:rFonts w:eastAsia="SimSun"/>
          <w:color w:val="1A0DAB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eastAsia="SimSun"/>
          <w:color w:val="000000"/>
          <w:sz w:val="30"/>
          <w:szCs w:val="30"/>
          <w:shd w:val="clear" w:color="auto" w:fill="FFFFFF"/>
        </w:rPr>
        <w:t> настоящей статьи, направить победителю электронного аукциона или иным лицам, с которыми в соответствии с </w:t>
      </w:r>
      <w:hyperlink r:id="rId12" w:anchor="dst689" w:history="1">
        <w:r>
          <w:rPr>
            <w:rStyle w:val="a3"/>
            <w:rFonts w:eastAsia="SimSun"/>
            <w:color w:val="1A0DAB"/>
            <w:sz w:val="30"/>
            <w:szCs w:val="30"/>
            <w:shd w:val="clear" w:color="auto" w:fill="FFFFFF"/>
          </w:rPr>
          <w:t>пунктами 13</w:t>
        </w:r>
      </w:hyperlink>
      <w:r>
        <w:rPr>
          <w:rFonts w:eastAsia="SimSun"/>
          <w:color w:val="000000"/>
          <w:sz w:val="30"/>
          <w:szCs w:val="30"/>
          <w:shd w:val="clear" w:color="auto" w:fill="FFFFFF"/>
        </w:rPr>
        <w:t>, </w:t>
      </w:r>
      <w:hyperlink r:id="rId13" w:anchor="dst690" w:history="1">
        <w:r>
          <w:rPr>
            <w:rStyle w:val="a3"/>
            <w:rFonts w:eastAsia="SimSun"/>
            <w:color w:val="1A0DAB"/>
            <w:sz w:val="30"/>
            <w:szCs w:val="30"/>
            <w:shd w:val="clear" w:color="auto" w:fill="FFFFFF"/>
          </w:rPr>
          <w:t>14</w:t>
        </w:r>
      </w:hyperlink>
      <w:r>
        <w:rPr>
          <w:rFonts w:eastAsia="SimSun"/>
          <w:color w:val="000000"/>
          <w:sz w:val="30"/>
          <w:szCs w:val="30"/>
          <w:shd w:val="clear" w:color="auto" w:fill="FFFFFF"/>
        </w:rPr>
        <w:t>, </w:t>
      </w:r>
      <w:hyperlink r:id="rId14" w:anchor="dst702" w:history="1">
        <w:r>
          <w:rPr>
            <w:rStyle w:val="a3"/>
            <w:rFonts w:eastAsia="SimSun"/>
            <w:color w:val="1A0DAB"/>
            <w:sz w:val="30"/>
            <w:szCs w:val="30"/>
            <w:shd w:val="clear" w:color="auto" w:fill="FFFFFF"/>
          </w:rPr>
          <w:t>20</w:t>
        </w:r>
      </w:hyperlink>
      <w:r>
        <w:rPr>
          <w:rFonts w:eastAsia="SimSun"/>
          <w:color w:val="000000"/>
          <w:sz w:val="30"/>
          <w:szCs w:val="30"/>
          <w:shd w:val="clear" w:color="auto" w:fill="FFFFFF"/>
        </w:rPr>
        <w:t> и </w:t>
      </w:r>
      <w:hyperlink r:id="rId15" w:anchor="dst101232" w:history="1">
        <w:r>
          <w:rPr>
            <w:rStyle w:val="a3"/>
            <w:rFonts w:eastAsia="SimSun"/>
            <w:color w:val="1A0DAB"/>
            <w:sz w:val="30"/>
            <w:szCs w:val="30"/>
            <w:shd w:val="clear" w:color="auto" w:fill="FFFFFF"/>
          </w:rPr>
          <w:t>25 статьи 39.12</w:t>
        </w:r>
      </w:hyperlink>
      <w:r>
        <w:rPr>
          <w:rFonts w:eastAsia="SimSun"/>
          <w:color w:val="000000"/>
          <w:sz w:val="30"/>
          <w:szCs w:val="30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участка».</w:t>
      </w:r>
    </w:p>
    <w:p w14:paraId="2958FD18" w14:textId="77777777" w:rsidR="00721018" w:rsidRDefault="00A11A0F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2.</w:t>
      </w:r>
      <w:r>
        <w:t xml:space="preserve"> </w:t>
      </w:r>
      <w:proofErr w:type="gramStart"/>
      <w:r>
        <w:rPr>
          <w:rFonts w:eastAsia="NSimSun"/>
          <w:sz w:val="28"/>
          <w:lang w:eastAsia="zh-CN"/>
        </w:rPr>
        <w:t>Аппарату  администрации</w:t>
      </w:r>
      <w:proofErr w:type="gramEnd"/>
      <w:r>
        <w:rPr>
          <w:rFonts w:eastAsia="NSimSun"/>
          <w:sz w:val="28"/>
          <w:lang w:eastAsia="zh-CN"/>
        </w:rPr>
        <w:t xml:space="preserve"> Анучинского муниципального округа (Бурдейной С.В.) разместить настоящее постановление на официальном сайте администрации Анучинского муниципального округа и опубликовать  в средствах массовой информации.</w:t>
      </w:r>
    </w:p>
    <w:p w14:paraId="55F24BD2" w14:textId="77777777" w:rsidR="00721018" w:rsidRDefault="00A11A0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Настоящее постановление вступает в законную силу с момента принятия.</w:t>
      </w:r>
    </w:p>
    <w:p w14:paraId="4B53A9C7" w14:textId="77777777" w:rsidR="00721018" w:rsidRDefault="00A11A0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администрации Анучинского муниципального округа.</w:t>
      </w:r>
    </w:p>
    <w:p w14:paraId="63A5261C" w14:textId="77777777" w:rsidR="00721018" w:rsidRDefault="00721018">
      <w:pPr>
        <w:spacing w:line="360" w:lineRule="auto"/>
        <w:ind w:firstLine="708"/>
        <w:jc w:val="both"/>
        <w:rPr>
          <w:sz w:val="28"/>
        </w:rPr>
      </w:pPr>
    </w:p>
    <w:p w14:paraId="51B3F2D0" w14:textId="77777777" w:rsidR="00721018" w:rsidRDefault="00721018">
      <w:pPr>
        <w:spacing w:line="360" w:lineRule="auto"/>
        <w:ind w:firstLine="708"/>
        <w:jc w:val="both"/>
        <w:rPr>
          <w:sz w:val="28"/>
        </w:rPr>
      </w:pPr>
    </w:p>
    <w:p w14:paraId="7F76EBF4" w14:textId="77777777" w:rsidR="00721018" w:rsidRDefault="00A11A0F">
      <w:pPr>
        <w:pStyle w:val="a5"/>
        <w:jc w:val="left"/>
      </w:pPr>
      <w:r>
        <w:rPr>
          <w:bCs/>
          <w:szCs w:val="28"/>
        </w:rPr>
        <w:t xml:space="preserve">Глава Анучинского  </w:t>
      </w:r>
    </w:p>
    <w:p w14:paraId="1046DA0B" w14:textId="77777777" w:rsidR="00721018" w:rsidRDefault="00A11A0F">
      <w:pPr>
        <w:pStyle w:val="a5"/>
        <w:jc w:val="left"/>
      </w:pPr>
      <w:r>
        <w:rPr>
          <w:bCs/>
          <w:szCs w:val="28"/>
        </w:rPr>
        <w:t>муниципального округа                                                         С.А. Понуровский</w:t>
      </w:r>
    </w:p>
    <w:p w14:paraId="092788C7" w14:textId="77777777" w:rsidR="00721018" w:rsidRDefault="00721018">
      <w:pPr>
        <w:spacing w:line="360" w:lineRule="auto"/>
        <w:jc w:val="both"/>
        <w:rPr>
          <w:rFonts w:eastAsia="SimSun"/>
          <w:color w:val="000000"/>
          <w:sz w:val="30"/>
          <w:szCs w:val="30"/>
          <w:shd w:val="clear" w:color="auto" w:fill="FFFFFF"/>
        </w:rPr>
      </w:pPr>
    </w:p>
    <w:sectPr w:rsidR="00721018">
      <w:pgSz w:w="11906" w:h="16838"/>
      <w:pgMar w:top="1440" w:right="10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806A0"/>
    <w:multiLevelType w:val="singleLevel"/>
    <w:tmpl w:val="422806A0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A87074"/>
    <w:rsid w:val="006D4597"/>
    <w:rsid w:val="00721018"/>
    <w:rsid w:val="00830EE5"/>
    <w:rsid w:val="00A11A0F"/>
    <w:rsid w:val="00C34B10"/>
    <w:rsid w:val="0491395F"/>
    <w:rsid w:val="15A87074"/>
    <w:rsid w:val="2F1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18765"/>
  <w15:docId w15:val="{C9B637BB-F5A9-4EB4-A824-055FCAE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eastAsia="Times New Roman"/>
      <w:sz w:val="26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4">
    <w:name w:val="Body Text"/>
    <w:basedOn w:val="a"/>
    <w:qFormat/>
    <w:pPr>
      <w:tabs>
        <w:tab w:val="left" w:pos="1260"/>
      </w:tabs>
      <w:jc w:val="both"/>
    </w:pPr>
  </w:style>
  <w:style w:type="paragraph" w:styleId="a5">
    <w:name w:val="Title"/>
    <w:basedOn w:val="a"/>
    <w:next w:val="a4"/>
    <w:qFormat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18/3446ddfcafad7edd45fa9e4766584f3a09c11d98/" TargetMode="External"/><Relationship Id="rId13" Type="http://schemas.openxmlformats.org/officeDocument/2006/relationships/hyperlink" Target="https://www.consultant.ru/document/cons_doc_LAW_454318/3446ddfcafad7edd45fa9e4766584f3a09c11d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318/3446ddfcafad7edd45fa9e4766584f3a09c11d98/" TargetMode="External"/><Relationship Id="rId12" Type="http://schemas.openxmlformats.org/officeDocument/2006/relationships/hyperlink" Target="https://www.consultant.ru/document/cons_doc_LAW_454318/3446ddfcafad7edd45fa9e4766584f3a09c11d9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4318/3446ddfcafad7edd45fa9e4766584f3a09c11d98/" TargetMode="External"/><Relationship Id="rId11" Type="http://schemas.openxmlformats.org/officeDocument/2006/relationships/hyperlink" Target="https://www.consultant.ru/document/cons_doc_LAW_454318/11fee8899982f95489314b2c97aeefd67a3ef54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54318/3446ddfcafad7edd45fa9e4766584f3a09c11d98/" TargetMode="External"/><Relationship Id="rId10" Type="http://schemas.openxmlformats.org/officeDocument/2006/relationships/hyperlink" Target="https://www.consultant.ru/document/cons_doc_LAW_454318/11fee8899982f95489314b2c97aeefd67a3ef5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318/3446ddfcafad7edd45fa9e4766584f3a09c11d98/" TargetMode="External"/><Relationship Id="rId14" Type="http://schemas.openxmlformats.org/officeDocument/2006/relationships/hyperlink" Target="https://www.consultant.ru/document/cons_doc_LAW_454318/3446ddfcafad7edd45fa9e4766584f3a09c11d98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TkachenkoZV</dc:creator>
  <cp:lastModifiedBy>Татьяна Н. Малявка</cp:lastModifiedBy>
  <cp:revision>3</cp:revision>
  <cp:lastPrinted>2024-07-05T04:05:00Z</cp:lastPrinted>
  <dcterms:created xsi:type="dcterms:W3CDTF">2024-07-08T04:35:00Z</dcterms:created>
  <dcterms:modified xsi:type="dcterms:W3CDTF">2024-07-10T22:58:00Z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04FE1167F23E4E7D89F1C9B4D6D72634_11</vt:lpwstr>
  </property>
</Properties>
</file>