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6894" w:rsidRDefault="00476894" w:rsidP="0047689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Уважаемые работодатели!</w:t>
      </w:r>
    </w:p>
    <w:p w:rsidR="00476894" w:rsidRDefault="00476894" w:rsidP="0047689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476894" w:rsidRDefault="00476894" w:rsidP="0047689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 01.03.2022 года вступ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ила </w:t>
      </w: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в силу новая редакция Трудового кодекса РФ, а также ряд подзаконных актов по реализации положений ТК РФ. </w:t>
      </w:r>
    </w:p>
    <w:p w:rsidR="00476894" w:rsidRDefault="00476894" w:rsidP="0047689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476894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В ТК РФ в обязанностях работодателя (статья 214 ТК РФ)</w:t>
      </w: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AB48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появилась обязанность по систематическому выявлению опасностей и</w:t>
      </w:r>
    </w:p>
    <w:p w:rsidR="00476894" w:rsidRPr="00476894" w:rsidRDefault="00476894" w:rsidP="0047689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</w:pPr>
      <w:r w:rsidRPr="00AB4813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профессиональных рисков, их регулярному анализу и оценке (оценка профессионального риска).</w:t>
      </w: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</w:p>
    <w:p w:rsidR="00476894" w:rsidRDefault="00476894" w:rsidP="0047689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Данная обязанность предусмотрена посредством создания и функционирования системы управления охраной труда и прописана в Типовом положении о СУОТ.</w:t>
      </w:r>
    </w:p>
    <w:p w:rsidR="00476894" w:rsidRDefault="00476894" w:rsidP="0047689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Безусловно, статус оценки профессионального риска с 01.03.2022 становится выше, так как данная норма права вошла в Трудовой кодекс РФ. С 01.03.2022 вступ</w:t>
      </w:r>
      <w:r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ил</w:t>
      </w: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в силу ряд документов, уточняющих порядок проведения оценки риска.</w:t>
      </w:r>
    </w:p>
    <w:p w:rsidR="00476894" w:rsidRDefault="00476894" w:rsidP="0047689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Статья 5.27.1 Кодекса Российской Федерации об административных правонарушениях от 30 декабря 2001 года N 195-ФЗ с 01.03.2022 не претерпела изменений. Штраф за нарушение государственных нормативных требований охраны труда каким был, таким и остался. Максимальная сумма штрафа на юридических лиц - 80,0 тысяч рублей.</w:t>
      </w:r>
    </w:p>
    <w:p w:rsidR="00476894" w:rsidRPr="00476894" w:rsidRDefault="00476894" w:rsidP="00476894">
      <w:pPr>
        <w:shd w:val="clear" w:color="auto" w:fill="FFFFFF"/>
        <w:spacing w:after="0" w:line="240" w:lineRule="auto"/>
        <w:ind w:firstLine="709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3D586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Поэтому с юридической точки зрения оценку профессиональных рисков необходимо было проводить как до 01.03.2022, так и после 01.03.2022. Штрафные санкции не изменились с 01.03.2022. </w:t>
      </w:r>
    </w:p>
    <w:p w:rsidR="00476894" w:rsidRDefault="00476894">
      <w:bookmarkStart w:id="0" w:name="_GoBack"/>
      <w:bookmarkEnd w:id="0"/>
    </w:p>
    <w:sectPr w:rsidR="00476894" w:rsidSect="0047689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894"/>
    <w:rsid w:val="0047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E567A"/>
  <w15:chartTrackingRefBased/>
  <w15:docId w15:val="{A4F70BE9-732F-4508-8C13-F3EBFE08D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Доценко</dc:creator>
  <cp:keywords/>
  <dc:description/>
  <cp:lastModifiedBy>Татьяна Н. Доценко</cp:lastModifiedBy>
  <cp:revision>1</cp:revision>
  <dcterms:created xsi:type="dcterms:W3CDTF">2022-07-27T00:39:00Z</dcterms:created>
  <dcterms:modified xsi:type="dcterms:W3CDTF">2022-07-27T00:46:00Z</dcterms:modified>
</cp:coreProperties>
</file>