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BF" w:rsidRDefault="00263ABF" w:rsidP="00D27B7D">
      <w:pPr>
        <w:spacing w:line="360" w:lineRule="auto"/>
        <w:jc w:val="center"/>
        <w:rPr>
          <w:b/>
          <w:sz w:val="32"/>
          <w:szCs w:val="32"/>
        </w:rPr>
      </w:pPr>
      <w:r w:rsidRPr="00263ABF">
        <w:rPr>
          <w:b/>
          <w:sz w:val="32"/>
          <w:szCs w:val="32"/>
        </w:rPr>
        <w:t xml:space="preserve">Основные параметры прогноза </w:t>
      </w:r>
    </w:p>
    <w:p w:rsidR="00263ABF" w:rsidRPr="00263ABF" w:rsidRDefault="00263ABF" w:rsidP="00D27B7D">
      <w:pPr>
        <w:spacing w:line="360" w:lineRule="auto"/>
        <w:jc w:val="center"/>
        <w:rPr>
          <w:b/>
          <w:sz w:val="32"/>
          <w:szCs w:val="32"/>
        </w:rPr>
      </w:pPr>
      <w:r w:rsidRPr="00263ABF">
        <w:rPr>
          <w:b/>
          <w:sz w:val="32"/>
          <w:szCs w:val="32"/>
        </w:rPr>
        <w:t xml:space="preserve">социально – экономического развития </w:t>
      </w:r>
      <w:proofErr w:type="spellStart"/>
      <w:r w:rsidRPr="00263ABF">
        <w:rPr>
          <w:b/>
          <w:sz w:val="32"/>
          <w:szCs w:val="32"/>
        </w:rPr>
        <w:t>Анучинского</w:t>
      </w:r>
      <w:proofErr w:type="spellEnd"/>
      <w:r w:rsidRPr="00263ABF">
        <w:rPr>
          <w:b/>
          <w:sz w:val="32"/>
          <w:szCs w:val="32"/>
        </w:rPr>
        <w:t xml:space="preserve"> муниципального округа на 2020г и на плановый период 2021-2020 годы</w:t>
      </w: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 w:rsidRPr="00143EA2">
        <w:rPr>
          <w:b/>
          <w:sz w:val="28"/>
          <w:szCs w:val="28"/>
        </w:rPr>
        <w:t>Естественное движение населения.</w:t>
      </w:r>
    </w:p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57240" cy="3519170"/>
            <wp:effectExtent l="19050" t="0" r="10160" b="50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 w:rsidRPr="00CA44E5">
        <w:rPr>
          <w:b/>
          <w:sz w:val="28"/>
          <w:szCs w:val="28"/>
        </w:rPr>
        <w:lastRenderedPageBreak/>
        <w:t>Процентное соотношение отдельных категорий населения (старше трудоспособного возраста, трудоспособного возраста, моложе трудоспособноговозраста),%</w:t>
      </w:r>
    </w:p>
    <w:p w:rsidR="00FB4938" w:rsidRDefault="00D27B7D" w:rsidP="00D27B7D">
      <w:r>
        <w:rPr>
          <w:noProof/>
        </w:rPr>
        <w:drawing>
          <wp:inline distT="0" distB="0" distL="0" distR="0">
            <wp:extent cx="5019675" cy="2780030"/>
            <wp:effectExtent l="0" t="0" r="9525" b="203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7B7D" w:rsidRDefault="00D27B7D" w:rsidP="00D27B7D"/>
    <w:p w:rsidR="00D27B7D" w:rsidRDefault="00D27B7D" w:rsidP="00D27B7D"/>
    <w:p w:rsidR="00D27B7D" w:rsidRPr="00AB65E7" w:rsidRDefault="00D27B7D" w:rsidP="00D27B7D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D27B7D" w:rsidRDefault="00D27B7D" w:rsidP="00D27B7D">
      <w:pPr>
        <w:pStyle w:val="2"/>
        <w:jc w:val="center"/>
        <w:rPr>
          <w:b/>
          <w:sz w:val="28"/>
          <w:szCs w:val="28"/>
        </w:rPr>
      </w:pPr>
    </w:p>
    <w:p w:rsidR="00D27B7D" w:rsidRDefault="00D27B7D" w:rsidP="00D27B7D">
      <w:pPr>
        <w:pStyle w:val="2"/>
        <w:jc w:val="center"/>
        <w:rPr>
          <w:b/>
          <w:sz w:val="28"/>
          <w:szCs w:val="28"/>
        </w:rPr>
      </w:pPr>
    </w:p>
    <w:p w:rsidR="00D27B7D" w:rsidRDefault="00D27B7D" w:rsidP="00D27B7D">
      <w:pPr>
        <w:pStyle w:val="2"/>
        <w:jc w:val="center"/>
        <w:rPr>
          <w:b/>
          <w:sz w:val="28"/>
          <w:szCs w:val="28"/>
        </w:rPr>
      </w:pPr>
      <w:r w:rsidRPr="006B7F88">
        <w:rPr>
          <w:b/>
          <w:sz w:val="28"/>
          <w:szCs w:val="28"/>
        </w:rPr>
        <w:t>Динамика развития промышленного производства (млн. рублей)</w:t>
      </w:r>
    </w:p>
    <w:p w:rsidR="00263ABF" w:rsidRDefault="00263ABF" w:rsidP="00D27B7D">
      <w:pPr>
        <w:pStyle w:val="2"/>
        <w:jc w:val="center"/>
        <w:rPr>
          <w:b/>
          <w:sz w:val="28"/>
          <w:szCs w:val="28"/>
        </w:rPr>
      </w:pPr>
    </w:p>
    <w:p w:rsidR="00263ABF" w:rsidRDefault="00263ABF" w:rsidP="00D27B7D">
      <w:pPr>
        <w:pStyle w:val="2"/>
        <w:jc w:val="center"/>
        <w:rPr>
          <w:b/>
          <w:sz w:val="28"/>
          <w:szCs w:val="28"/>
        </w:rPr>
      </w:pPr>
    </w:p>
    <w:p w:rsidR="00D27B7D" w:rsidRDefault="00D27B7D" w:rsidP="00D27B7D">
      <w:r>
        <w:rPr>
          <w:noProof/>
        </w:rPr>
        <w:drawing>
          <wp:inline distT="0" distB="0" distL="0" distR="0">
            <wp:extent cx="5929630" cy="2557145"/>
            <wp:effectExtent l="0" t="0" r="13970" b="1460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7B7D" w:rsidRDefault="00D27B7D" w:rsidP="00D27B7D"/>
    <w:p w:rsidR="00D27B7D" w:rsidRDefault="00D27B7D" w:rsidP="00D27B7D"/>
    <w:p w:rsidR="00D27B7D" w:rsidRDefault="00D27B7D" w:rsidP="00D27B7D"/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D27B7D" w:rsidRPr="00B7384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 w:rsidRPr="00B7384D">
        <w:rPr>
          <w:b/>
          <w:sz w:val="28"/>
          <w:szCs w:val="28"/>
        </w:rPr>
        <w:lastRenderedPageBreak/>
        <w:t>Валовая продукция сельского хозяйства</w:t>
      </w:r>
    </w:p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 w:rsidRPr="00B7384D">
        <w:rPr>
          <w:b/>
          <w:sz w:val="28"/>
          <w:szCs w:val="28"/>
        </w:rPr>
        <w:t>(хозяйства всех категорий)</w:t>
      </w:r>
    </w:p>
    <w:p w:rsidR="00F35AE9" w:rsidRDefault="00F35AE9" w:rsidP="00D27B7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12274"/>
            <wp:effectExtent l="0" t="0" r="22225" b="2159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2E18" w:rsidRDefault="00942E18" w:rsidP="00D27B7D">
      <w:pPr>
        <w:spacing w:line="360" w:lineRule="auto"/>
        <w:jc w:val="center"/>
        <w:rPr>
          <w:b/>
          <w:sz w:val="28"/>
          <w:szCs w:val="28"/>
        </w:rPr>
      </w:pPr>
    </w:p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>
      <w:r>
        <w:rPr>
          <w:noProof/>
        </w:rPr>
        <w:drawing>
          <wp:inline distT="0" distB="0" distL="0" distR="0">
            <wp:extent cx="5006340" cy="3237230"/>
            <wp:effectExtent l="0" t="0" r="22860" b="2032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E18" w:rsidRDefault="00942E18" w:rsidP="00D27B7D"/>
    <w:p w:rsidR="00942E18" w:rsidRDefault="00F35AE9" w:rsidP="00D27B7D">
      <w:r>
        <w:rPr>
          <w:noProof/>
        </w:rPr>
        <w:lastRenderedPageBreak/>
        <w:drawing>
          <wp:inline distT="0" distB="0" distL="0" distR="0">
            <wp:extent cx="5940425" cy="2860772"/>
            <wp:effectExtent l="0" t="0" r="22225" b="158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E18" w:rsidRDefault="00942E18" w:rsidP="00D27B7D"/>
    <w:p w:rsidR="00942E18" w:rsidRDefault="00942E18" w:rsidP="00D27B7D"/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/>
    <w:p w:rsidR="00C31F68" w:rsidRDefault="00C31F68" w:rsidP="00D27B7D"/>
    <w:p w:rsidR="00C31F68" w:rsidRDefault="00C31F68" w:rsidP="00D27B7D">
      <w:r>
        <w:rPr>
          <w:noProof/>
        </w:rPr>
        <w:drawing>
          <wp:inline distT="0" distB="0" distL="0" distR="0">
            <wp:extent cx="5729288" cy="3900488"/>
            <wp:effectExtent l="0" t="0" r="2413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1F68" w:rsidRDefault="00C31F68" w:rsidP="00D27B7D"/>
    <w:p w:rsidR="00C31F68" w:rsidRDefault="00C31F68" w:rsidP="00D27B7D">
      <w:r>
        <w:rPr>
          <w:noProof/>
        </w:rPr>
        <w:lastRenderedPageBreak/>
        <w:drawing>
          <wp:inline distT="0" distB="0" distL="0" distR="0">
            <wp:extent cx="5895974" cy="4319588"/>
            <wp:effectExtent l="0" t="0" r="1016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7B7D" w:rsidRDefault="00D27B7D" w:rsidP="00D27B7D"/>
    <w:p w:rsidR="00D27B7D" w:rsidRDefault="00D27B7D" w:rsidP="00D27B7D"/>
    <w:p w:rsidR="00D27B7D" w:rsidRDefault="00D27B7D" w:rsidP="00D27B7D"/>
    <w:p w:rsidR="00D27B7D" w:rsidRDefault="00D27B7D" w:rsidP="00D27B7D">
      <w:pPr>
        <w:spacing w:line="360" w:lineRule="auto"/>
        <w:ind w:firstLine="720"/>
        <w:jc w:val="both"/>
        <w:rPr>
          <w:b/>
          <w:sz w:val="28"/>
        </w:rPr>
      </w:pPr>
      <w:r w:rsidRPr="00CD0174">
        <w:rPr>
          <w:b/>
          <w:sz w:val="28"/>
        </w:rPr>
        <w:t>Индекс физического объема инвестиций в основной капитал, %.</w:t>
      </w:r>
    </w:p>
    <w:p w:rsidR="00F35AE9" w:rsidRDefault="00F35AE9" w:rsidP="00D27B7D">
      <w:pPr>
        <w:spacing w:line="360" w:lineRule="auto"/>
        <w:ind w:firstLine="720"/>
        <w:jc w:val="both"/>
        <w:rPr>
          <w:b/>
          <w:sz w:val="28"/>
        </w:rPr>
      </w:pPr>
    </w:p>
    <w:p w:rsidR="00F35AE9" w:rsidRDefault="00F35AE9" w:rsidP="00D27B7D">
      <w:pPr>
        <w:spacing w:line="360" w:lineRule="auto"/>
        <w:jc w:val="both"/>
        <w:rPr>
          <w:b/>
          <w:sz w:val="28"/>
        </w:rPr>
      </w:pPr>
      <w:r>
        <w:rPr>
          <w:noProof/>
        </w:rPr>
        <w:drawing>
          <wp:inline distT="0" distB="0" distL="0" distR="0">
            <wp:extent cx="5940425" cy="2797622"/>
            <wp:effectExtent l="0" t="0" r="22225" b="222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AE9" w:rsidRDefault="00F35AE9" w:rsidP="00D27B7D">
      <w:pPr>
        <w:spacing w:line="360" w:lineRule="auto"/>
        <w:jc w:val="both"/>
        <w:rPr>
          <w:b/>
          <w:sz w:val="28"/>
        </w:rPr>
      </w:pPr>
    </w:p>
    <w:p w:rsidR="00D27B7D" w:rsidRDefault="00D27B7D" w:rsidP="00D27B7D">
      <w:pPr>
        <w:spacing w:line="360" w:lineRule="auto"/>
        <w:jc w:val="both"/>
        <w:rPr>
          <w:b/>
          <w:sz w:val="28"/>
        </w:rPr>
      </w:pPr>
    </w:p>
    <w:p w:rsidR="00D27B7D" w:rsidRDefault="00D27B7D" w:rsidP="00D27B7D">
      <w:pPr>
        <w:spacing w:line="360" w:lineRule="auto"/>
        <w:jc w:val="both"/>
        <w:rPr>
          <w:b/>
          <w:sz w:val="28"/>
        </w:rPr>
      </w:pPr>
    </w:p>
    <w:p w:rsidR="00D27B7D" w:rsidRDefault="00D27B7D" w:rsidP="00D27B7D">
      <w:pPr>
        <w:spacing w:line="360" w:lineRule="auto"/>
        <w:rPr>
          <w:b/>
          <w:sz w:val="28"/>
          <w:szCs w:val="28"/>
        </w:rPr>
      </w:pPr>
      <w:r w:rsidRPr="00740324">
        <w:rPr>
          <w:b/>
          <w:sz w:val="28"/>
          <w:szCs w:val="28"/>
        </w:rPr>
        <w:lastRenderedPageBreak/>
        <w:t>Структура денежных доходов населения в 201</w:t>
      </w:r>
      <w:r w:rsidR="00F6174B">
        <w:rPr>
          <w:b/>
          <w:sz w:val="28"/>
          <w:szCs w:val="28"/>
        </w:rPr>
        <w:t>9</w:t>
      </w:r>
      <w:bookmarkStart w:id="0" w:name="_GoBack"/>
      <w:bookmarkEnd w:id="0"/>
      <w:r w:rsidRPr="00740324">
        <w:rPr>
          <w:b/>
          <w:sz w:val="28"/>
          <w:szCs w:val="28"/>
        </w:rPr>
        <w:t xml:space="preserve"> году</w:t>
      </w:r>
    </w:p>
    <w:p w:rsidR="00D27B7D" w:rsidRDefault="00D27B7D" w:rsidP="00D27B7D">
      <w:r>
        <w:rPr>
          <w:noProof/>
        </w:rPr>
        <w:drawing>
          <wp:inline distT="0" distB="0" distL="0" distR="0">
            <wp:extent cx="5330825" cy="3283585"/>
            <wp:effectExtent l="0" t="0" r="22225" b="1206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7B7D" w:rsidRDefault="00D27B7D" w:rsidP="00D27B7D"/>
    <w:p w:rsidR="00D27B7D" w:rsidRDefault="00D27B7D" w:rsidP="00D27B7D"/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 w:rsidRPr="002B26D3">
        <w:rPr>
          <w:b/>
          <w:sz w:val="28"/>
          <w:szCs w:val="28"/>
        </w:rPr>
        <w:t xml:space="preserve">Численность </w:t>
      </w:r>
      <w:r>
        <w:rPr>
          <w:b/>
          <w:sz w:val="28"/>
          <w:szCs w:val="28"/>
        </w:rPr>
        <w:t>трудовых ресурсов.</w:t>
      </w:r>
    </w:p>
    <w:p w:rsidR="00D27B7D" w:rsidRPr="002B26D3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29630" cy="2805430"/>
            <wp:effectExtent l="0" t="0" r="13970" b="1397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263ABF" w:rsidRDefault="00263ABF" w:rsidP="00D27B7D">
      <w:pPr>
        <w:spacing w:line="360" w:lineRule="auto"/>
        <w:jc w:val="center"/>
        <w:rPr>
          <w:b/>
          <w:sz w:val="28"/>
          <w:szCs w:val="28"/>
        </w:rPr>
      </w:pPr>
    </w:p>
    <w:p w:rsidR="00D27B7D" w:rsidRDefault="00D27B7D" w:rsidP="00D27B7D">
      <w:pPr>
        <w:spacing w:line="360" w:lineRule="auto"/>
        <w:jc w:val="center"/>
        <w:rPr>
          <w:b/>
          <w:sz w:val="28"/>
          <w:szCs w:val="28"/>
        </w:rPr>
      </w:pPr>
      <w:r w:rsidRPr="003A1034">
        <w:rPr>
          <w:b/>
          <w:sz w:val="28"/>
          <w:szCs w:val="28"/>
        </w:rPr>
        <w:lastRenderedPageBreak/>
        <w:t>Рост средней заработной платы по кру</w:t>
      </w:r>
      <w:r>
        <w:rPr>
          <w:b/>
          <w:sz w:val="28"/>
          <w:szCs w:val="28"/>
        </w:rPr>
        <w:t>пным и средним организациям</w:t>
      </w:r>
      <w:r w:rsidRPr="003A1034">
        <w:rPr>
          <w:b/>
          <w:sz w:val="28"/>
          <w:szCs w:val="28"/>
        </w:rPr>
        <w:t xml:space="preserve"> (рублей)</w:t>
      </w:r>
    </w:p>
    <w:p w:rsidR="00D27B7D" w:rsidRDefault="00D27B7D" w:rsidP="00D27B7D">
      <w:r>
        <w:rPr>
          <w:noProof/>
        </w:rPr>
        <w:drawing>
          <wp:inline distT="0" distB="0" distL="0" distR="0">
            <wp:extent cx="5929630" cy="2917190"/>
            <wp:effectExtent l="0" t="0" r="13970" b="1651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D27B7D" w:rsidSect="0066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7D"/>
    <w:rsid w:val="00263ABF"/>
    <w:rsid w:val="006617C1"/>
    <w:rsid w:val="00942E18"/>
    <w:rsid w:val="00AF71B1"/>
    <w:rsid w:val="00C31F68"/>
    <w:rsid w:val="00D27B7D"/>
    <w:rsid w:val="00F35AE9"/>
    <w:rsid w:val="00F6174B"/>
    <w:rsid w:val="00FB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7B7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7B7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7B7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7B7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rm01\fo\2018&#1075;&#1086;&#1076;\&#1058;&#1086;&#1087;&#1080;&#1083;&#1080;&#1085;&#1072;\&#1087;&#1088;&#1086;&#1075;&#1085;&#1086;&#1079;%20&#1076;&#1086;%202024%20&#1075;&#1086;&#1076;&#1072;\&#1050;&#1085;&#1080;&#1075;&#1072;2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m01\fo\&#1058;&#1086;&#1087;&#1080;&#1083;&#1080;&#1085;&#1072;\&#1087;&#1088;&#1086;&#1075;&#1085;&#1086;&#1079;%20&#1076;&#1086;%202020%20&#1075;&#1086;&#1076;&#1072;\&#1050;&#1085;&#1080;&#1075;&#1072;2.xls" TargetMode="External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rm01\fo\&#1058;&#1086;&#1087;&#1080;&#1083;&#1080;&#1085;&#1072;\&#1087;&#1088;&#1086;&#1075;&#1085;&#1086;&#1079;%20&#1076;&#1086;%202024%20&#1075;&#1086;&#1076;&#1072;\&#1050;&#1085;&#1080;&#1075;&#1072;2.xls" TargetMode="External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m01\fo\&#1058;&#1086;&#1087;&#1080;&#1083;&#1080;&#1085;&#1072;\&#1087;&#1088;&#1086;&#1075;&#1085;&#1086;&#1079;%20&#1076;&#1086;%202024%20&#1075;&#1086;&#1076;&#1072;\&#1050;&#1085;&#1080;&#1075;&#1072;2.xls" TargetMode="External"/><Relationship Id="rId2" Type="http://schemas.openxmlformats.org/officeDocument/2006/relationships/image" Target="../media/image6.jpeg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m01\fo\&#1058;&#1086;&#1087;&#1080;&#1083;&#1080;&#1085;&#1072;\&#1073;&#1102;&#1076;&#1078;&#1077;&#1090;%202016%20&#1076;&#1080;&#1072;&#1075;&#1088;&#1072;&#1084;&#1099;\&#1050;&#1085;&#1080;&#1075;&#1072;2.xls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Arm01\fo\2018&#1075;&#1086;&#1076;\&#1058;&#1086;&#1087;&#1080;&#1083;&#1080;&#1085;&#1072;\&#1087;&#1088;&#1086;&#1075;&#1085;&#1086;&#1079;%20&#1076;&#1086;%202024%20&#1075;&#1086;&#1076;&#1072;\&#1050;&#1085;&#1080;&#1075;&#1072;2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Arm01\fo\&#1058;&#1086;&#1087;&#1080;&#1083;&#1080;&#1085;&#1072;\&#1087;&#1088;&#1086;&#1075;&#1085;&#1086;&#1079;%20&#1076;&#1086;%202024%20&#1075;&#1086;&#1076;&#1072;\&#1050;&#1085;&#1080;&#1075;&#1072;2.xls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m01\fo\2018&#1075;&#1086;&#1076;\&#1058;&#1086;&#1087;&#1080;&#1083;&#1080;&#1085;&#1072;\&#1040;&#1085;&#1072;&#1083;&#1080;&#1079;%202018\&#1076;&#1080;&#1072;&#1075;&#1088;&#1072;&#1084;&#1084;&#1099;%20&#1082;%20&#1072;&#1085;&#1072;&#1083;&#1080;&#1079;&#1091;.xlsx" TargetMode="External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Arm01\fo\&#1058;&#1086;&#1087;&#1080;&#1083;&#1080;&#1085;&#1072;\&#1087;&#1088;&#1086;&#1075;&#1085;&#1086;&#1079;%20&#1076;&#1086;%202024%20&#1075;&#1086;&#1076;&#1072;\&#1050;&#1085;&#1080;&#1075;&#1072;2.xls" TargetMode="External"/><Relationship Id="rId1" Type="http://schemas.openxmlformats.org/officeDocument/2006/relationships/image" Target="../media/image4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m01\fo\2019%20&#1075;&#1086;&#1076;\&#1058;&#1086;&#1087;&#1080;&#1083;&#1080;&#1085;&#1072;\&#1056;&#1072;&#1079;&#1074;&#1080;&#1090;&#1080;&#1077;%20&#1082;&#1086;&#1085;&#1082;&#1091;&#1088;&#1077;&#1085;&#1094;&#1080;&#1080;%20&#1074;%20&#1040;&#1052;&#1056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m01\fo\2019%20&#1075;&#1086;&#1076;\&#1058;&#1086;&#1087;&#1080;&#1083;&#1080;&#1085;&#1072;\&#1056;&#1072;&#1079;&#1074;&#1080;&#1090;&#1080;&#1077;%20&#1082;&#1086;&#1085;&#1082;&#1091;&#1088;&#1077;&#1085;&#1094;&#1080;&#1080;%20&#1074;%20&#1040;&#1052;&#1056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rm01\fo\&#1058;&#1086;&#1087;&#1080;&#1083;&#1080;&#1085;&#1072;\&#1087;&#1088;&#1086;&#1075;&#1085;&#1086;&#1079;%20&#1076;&#1086;%202024%20&#1075;&#1086;&#1076;&#1072;\&#1050;&#1085;&#1080;&#1075;&#1072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Лист1!$A$410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Лист1!$B$409:$G$409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Лист1!$B$410:$G$410</c:f>
              <c:numCache>
                <c:formatCode>General</c:formatCode>
                <c:ptCount val="6"/>
                <c:pt idx="0">
                  <c:v>207</c:v>
                </c:pt>
                <c:pt idx="1">
                  <c:v>243</c:v>
                </c:pt>
                <c:pt idx="2">
                  <c:v>195</c:v>
                </c:pt>
                <c:pt idx="3">
                  <c:v>195</c:v>
                </c:pt>
                <c:pt idx="4">
                  <c:v>170</c:v>
                </c:pt>
                <c:pt idx="5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Лист1!$A$411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Лист1!$B$409:$G$409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Лист1!$B$411:$G$411</c:f>
              <c:numCache>
                <c:formatCode>General</c:formatCode>
                <c:ptCount val="6"/>
                <c:pt idx="0">
                  <c:v>271</c:v>
                </c:pt>
                <c:pt idx="1">
                  <c:v>265</c:v>
                </c:pt>
                <c:pt idx="2">
                  <c:v>227</c:v>
                </c:pt>
                <c:pt idx="3">
                  <c:v>244</c:v>
                </c:pt>
                <c:pt idx="4">
                  <c:v>229</c:v>
                </c:pt>
                <c:pt idx="5">
                  <c:v>229</c:v>
                </c:pt>
              </c:numCache>
            </c:numRef>
          </c:val>
        </c:ser>
        <c:ser>
          <c:idx val="2"/>
          <c:order val="2"/>
          <c:tx>
            <c:strRef>
              <c:f>Лист1!$A$412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Лист1!$B$409:$G$409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Лист1!$B$412:$G$412</c:f>
              <c:numCache>
                <c:formatCode>General</c:formatCode>
                <c:ptCount val="6"/>
                <c:pt idx="0">
                  <c:v>-64</c:v>
                </c:pt>
                <c:pt idx="1">
                  <c:v>-22</c:v>
                </c:pt>
                <c:pt idx="2">
                  <c:v>-32</c:v>
                </c:pt>
                <c:pt idx="3">
                  <c:v>-49</c:v>
                </c:pt>
                <c:pt idx="4">
                  <c:v>-73</c:v>
                </c:pt>
                <c:pt idx="5">
                  <c:v>-81</c:v>
                </c:pt>
              </c:numCache>
            </c:numRef>
          </c:val>
        </c:ser>
        <c:dLbls/>
        <c:gapWidth val="75"/>
        <c:shape val="box"/>
        <c:axId val="85771008"/>
        <c:axId val="85772544"/>
        <c:axId val="0"/>
      </c:bar3DChart>
      <c:catAx>
        <c:axId val="857710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772544"/>
        <c:crosses val="autoZero"/>
        <c:auto val="1"/>
        <c:lblAlgn val="ctr"/>
        <c:lblOffset val="100"/>
      </c:catAx>
      <c:valAx>
        <c:axId val="8577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771008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b"/>
      <c:layout/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showPercent val="1"/>
          </c:dLbls>
          <c:cat>
            <c:strRef>
              <c:f>Лист1!$A$516:$A$521</c:f>
              <c:strCache>
                <c:ptCount val="6"/>
                <c:pt idx="0">
                  <c:v>оплата труда</c:v>
                </c:pt>
                <c:pt idx="1">
                  <c:v>пенсии</c:v>
                </c:pt>
                <c:pt idx="2">
                  <c:v>доходы от собственности</c:v>
                </c:pt>
                <c:pt idx="3">
                  <c:v>пособия и социальная помощь</c:v>
                </c:pt>
                <c:pt idx="4">
                  <c:v>доходы от предпринимательской деятельности</c:v>
                </c:pt>
                <c:pt idx="5">
                  <c:v>прочие доходы</c:v>
                </c:pt>
              </c:strCache>
            </c:strRef>
          </c:cat>
          <c:val>
            <c:numRef>
              <c:f>Лист1!$B$516:$B$521</c:f>
              <c:numCache>
                <c:formatCode>General</c:formatCode>
                <c:ptCount val="6"/>
                <c:pt idx="0">
                  <c:v>33.1</c:v>
                </c:pt>
                <c:pt idx="1">
                  <c:v>29.3</c:v>
                </c:pt>
                <c:pt idx="2">
                  <c:v>1.6</c:v>
                </c:pt>
                <c:pt idx="3">
                  <c:v>12.9</c:v>
                </c:pt>
                <c:pt idx="4">
                  <c:v>10.6</c:v>
                </c:pt>
                <c:pt idx="5">
                  <c:v>12.5</c:v>
                </c:pt>
              </c:numCache>
            </c:numRef>
          </c:val>
        </c:ser>
        <c:dLbls/>
        <c:firstSliceAng val="0"/>
        <c:holeSize val="50"/>
      </c:doughnutChart>
    </c:plotArea>
    <c:legend>
      <c:legendPos val="r"/>
      <c:layout/>
    </c:legend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388363322129721"/>
          <c:y val="4.398826979472141E-2"/>
          <c:w val="0.76005599323313533"/>
          <c:h val="0.71554252199413482"/>
        </c:manualLayout>
      </c:layout>
      <c:barChart>
        <c:barDir val="bar"/>
        <c:grouping val="stacked"/>
        <c:ser>
          <c:idx val="0"/>
          <c:order val="0"/>
          <c:tx>
            <c:strRef>
              <c:f>Лист1!$A$211:$F$211</c:f>
              <c:strCache>
                <c:ptCount val="1"/>
                <c:pt idx="0">
                  <c:v>Численность трудовых ресурсов, тыс. человек</c:v>
                </c:pt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5400000" vert="horz"/>
              <a:lstStyle/>
              <a:p>
                <a:pPr algn="ctr"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Лист1!$G$210:$L$210</c:f>
              <c:strCache>
                <c:ptCount val="6"/>
                <c:pt idx="0">
                  <c:v>2016 г. (отчет)</c:v>
                </c:pt>
                <c:pt idx="1">
                  <c:v>2017 г. (отчет)</c:v>
                </c:pt>
                <c:pt idx="2">
                  <c:v>2018г. (отчет)</c:v>
                </c:pt>
                <c:pt idx="3">
                  <c:v>2019 г. (оценка)</c:v>
                </c:pt>
                <c:pt idx="4">
                  <c:v>2020 г. (прогноз)</c:v>
                </c:pt>
                <c:pt idx="5">
                  <c:v>2024 г. (прогноз)</c:v>
                </c:pt>
              </c:strCache>
            </c:strRef>
          </c:cat>
          <c:val>
            <c:numRef>
              <c:f>Лист1!$G$211:$L$211</c:f>
              <c:numCache>
                <c:formatCode>General</c:formatCode>
                <c:ptCount val="6"/>
                <c:pt idx="0" formatCode="0.00">
                  <c:v>6.851</c:v>
                </c:pt>
                <c:pt idx="1">
                  <c:v>6.7539999999999996</c:v>
                </c:pt>
                <c:pt idx="2">
                  <c:v>6.5739999999999998</c:v>
                </c:pt>
                <c:pt idx="3">
                  <c:v>6.38</c:v>
                </c:pt>
                <c:pt idx="4">
                  <c:v>6.3199999999999994</c:v>
                </c:pt>
                <c:pt idx="5">
                  <c:v>6.35</c:v>
                </c:pt>
              </c:numCache>
            </c:numRef>
          </c:val>
        </c:ser>
        <c:dLbls/>
        <c:overlap val="100"/>
        <c:axId val="88142976"/>
        <c:axId val="88144512"/>
      </c:barChart>
      <c:catAx>
        <c:axId val="8814297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144512"/>
        <c:crosses val="autoZero"/>
        <c:auto val="1"/>
        <c:lblAlgn val="ctr"/>
        <c:lblOffset val="100"/>
        <c:tickLblSkip val="1"/>
        <c:tickMarkSkip val="1"/>
      </c:catAx>
      <c:valAx>
        <c:axId val="88144512"/>
        <c:scaling>
          <c:orientation val="minMax"/>
        </c:scaling>
        <c:axPos val="b"/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142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6629695559899674"/>
          <c:y val="0.90322580645161299"/>
          <c:w val="0.63384232310766964"/>
          <c:h val="7.624633431085048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0956806325135285"/>
          <c:y val="3.4482758620689655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2067934491847646"/>
          <c:y val="0.2413796798155855"/>
          <c:w val="0.75771719129351034"/>
          <c:h val="0.63009500834977561"/>
        </c:manualLayout>
      </c:layout>
      <c:barChart>
        <c:barDir val="bar"/>
        <c:grouping val="clustered"/>
        <c:ser>
          <c:idx val="0"/>
          <c:order val="0"/>
          <c:tx>
            <c:strRef>
              <c:f>Лист1!$A$237:$H$237</c:f>
              <c:strCache>
                <c:ptCount val="1"/>
                <c:pt idx="0">
                  <c:v>Номинальная начисленная среднемесячная заработная плата одного работающего, рублей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Лист1!$I$236:$N$236</c:f>
              <c:strCache>
                <c:ptCount val="6"/>
                <c:pt idx="0">
                  <c:v>2016 г. (отчет)</c:v>
                </c:pt>
                <c:pt idx="1">
                  <c:v>2017 г. (отчет)</c:v>
                </c:pt>
                <c:pt idx="2">
                  <c:v>2018 г. (отчет)</c:v>
                </c:pt>
                <c:pt idx="3">
                  <c:v>2019 г. (оценка)</c:v>
                </c:pt>
                <c:pt idx="4">
                  <c:v>2020 г. (прогноз)</c:v>
                </c:pt>
                <c:pt idx="5">
                  <c:v>2024 г. (прогноз)</c:v>
                </c:pt>
              </c:strCache>
            </c:strRef>
          </c:cat>
          <c:val>
            <c:numRef>
              <c:f>Лист1!$I$237:$N$237</c:f>
              <c:numCache>
                <c:formatCode>General</c:formatCode>
                <c:ptCount val="6"/>
                <c:pt idx="0">
                  <c:v>32302.5</c:v>
                </c:pt>
                <c:pt idx="1">
                  <c:v>33460.199999999997</c:v>
                </c:pt>
                <c:pt idx="2">
                  <c:v>39201</c:v>
                </c:pt>
                <c:pt idx="3">
                  <c:v>42533</c:v>
                </c:pt>
                <c:pt idx="4">
                  <c:v>45000</c:v>
                </c:pt>
                <c:pt idx="5">
                  <c:v>59000</c:v>
                </c:pt>
              </c:numCache>
            </c:numRef>
          </c:val>
        </c:ser>
        <c:dLbls/>
        <c:axId val="88123648"/>
        <c:axId val="88182784"/>
      </c:barChart>
      <c:catAx>
        <c:axId val="8812364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182784"/>
        <c:crosses val="autoZero"/>
        <c:auto val="1"/>
        <c:lblAlgn val="ctr"/>
        <c:lblOffset val="100"/>
        <c:tickLblSkip val="1"/>
        <c:tickMarkSkip val="1"/>
      </c:catAx>
      <c:valAx>
        <c:axId val="88182784"/>
        <c:scaling>
          <c:orientation val="minMax"/>
        </c:scaling>
        <c:delete val="1"/>
        <c:axPos val="b"/>
        <c:numFmt formatCode="General" sourceLinked="1"/>
        <c:tickLblPos val="nextTo"/>
        <c:crossAx val="88123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2531026214315814E-2"/>
          <c:y val="0.90595742930252832"/>
          <c:w val="0.85493956773921753"/>
          <c:h val="7.2100313479623881E-2"/>
        </c:manualLayout>
      </c:layout>
      <c:spPr>
        <a:solidFill>
          <a:srgbClr val="339966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6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accent3">
            <a:lumMod val="60000"/>
            <a:lumOff val="40000"/>
            <a:shade val="30000"/>
            <a:satMod val="115000"/>
          </a:schemeClr>
        </a:gs>
        <a:gs pos="50000">
          <a:schemeClr val="accent3">
            <a:lumMod val="60000"/>
            <a:lumOff val="40000"/>
            <a:shade val="67500"/>
            <a:satMod val="115000"/>
          </a:schemeClr>
        </a:gs>
        <a:gs pos="100000">
          <a:schemeClr val="accent3">
            <a:lumMod val="60000"/>
            <a:lumOff val="40000"/>
            <a:shade val="100000"/>
            <a:satMod val="115000"/>
          </a:schemeClr>
        </a:gs>
      </a:gsLst>
      <a:path path="circle">
        <a:fillToRect l="50000" t="50000" r="50000" b="50000"/>
      </a:path>
      <a:tileRect/>
    </a:gra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</c:dPt>
          <c:dPt>
            <c:idx val="1"/>
          </c:dPt>
          <c:dPt>
            <c:idx val="2"/>
          </c:dPt>
          <c:dLbls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Лист1!$A$465:$A$467</c:f>
              <c:strCache>
                <c:ptCount val="3"/>
                <c:pt idx="0">
                  <c:v>младше трудоспособного</c:v>
                </c:pt>
                <c:pt idx="1">
                  <c:v>трудоспособного возраста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Лист1!$B$465:$B$467</c:f>
              <c:numCache>
                <c:formatCode>0.0%</c:formatCode>
                <c:ptCount val="3"/>
                <c:pt idx="0" formatCode="0.00%">
                  <c:v>0.20900000000000002</c:v>
                </c:pt>
                <c:pt idx="1">
                  <c:v>0.51200000000000001</c:v>
                </c:pt>
                <c:pt idx="2" formatCode="0.00%">
                  <c:v>0.27900000000000008</c:v>
                </c:pt>
              </c:numCache>
            </c:numRef>
          </c:val>
        </c:ser>
        <c:dLbls/>
      </c:pie3DChart>
      <c:spPr>
        <a:gradFill flip="none" rotWithShape="1">
          <a:gsLst>
            <a:gs pos="0">
              <a:schemeClr val="accent4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4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4">
                <a:lumMod val="40000"/>
                <a:lumOff val="60000"/>
                <a:shade val="100000"/>
                <a:satMod val="115000"/>
              </a:schemeClr>
            </a:gs>
          </a:gsLst>
          <a:lin ang="8100000" scaled="1"/>
          <a:tileRect/>
        </a:gradFill>
      </c:spPr>
    </c:plotArea>
    <c:legend>
      <c:legendPos val="b"/>
      <c:layout/>
      <c:spPr>
        <a:solidFill>
          <a:schemeClr val="accent4">
            <a:lumMod val="40000"/>
            <a:lumOff val="60000"/>
          </a:schemeClr>
        </a:solidFill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000000">
                <a:gamma/>
                <a:shade val="46275"/>
                <a:invGamma/>
                <a:alpha val="22000"/>
              </a:srgbClr>
            </a:gs>
            <a:gs pos="100000">
              <a:srgbClr val="FF00FF"/>
            </a:gs>
          </a:gsLst>
          <a:lin ang="54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000000">
                <a:gamma/>
                <a:shade val="46275"/>
                <a:invGamma/>
                <a:alpha val="22000"/>
              </a:srgbClr>
            </a:gs>
            <a:gs pos="100000">
              <a:srgbClr val="FF00FF"/>
            </a:gs>
          </a:gsLst>
          <a:lin ang="54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752293577981675E-2"/>
          <c:y val="4.1916228942840326E-2"/>
          <c:w val="0.93119266055045868"/>
          <c:h val="0.7467839392416373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Лист1!$A$3:$F$4</c:f>
              <c:multiLvlStrCache>
                <c:ptCount val="6"/>
                <c:lvl>
                  <c:pt idx="0">
                    <c:v>2017 г. (отчет)</c:v>
                  </c:pt>
                  <c:pt idx="1">
                    <c:v>2018 г. (отчет)</c:v>
                  </c:pt>
                  <c:pt idx="2">
                    <c:v>2019 г. (оценка)</c:v>
                  </c:pt>
                  <c:pt idx="3">
                    <c:v>2020 г. (прогноз)</c:v>
                  </c:pt>
                  <c:pt idx="4">
                    <c:v>2021 г. (прогноз)</c:v>
                  </c:pt>
                  <c:pt idx="5">
                    <c:v>2024 г. (прогноз)</c:v>
                  </c:pt>
                </c:lvl>
                <c:lvl>
                  <c:pt idx="0">
                    <c:v>Объем промышленного производства, млн. рублей</c:v>
                  </c:pt>
                </c:lvl>
              </c:multiLvlStrCache>
            </c:multiLvlStrRef>
          </c:cat>
          <c:val>
            <c:numRef>
              <c:f>Лист1!$A$5:$F$5</c:f>
              <c:numCache>
                <c:formatCode>General</c:formatCode>
                <c:ptCount val="6"/>
                <c:pt idx="0">
                  <c:v>328.2</c:v>
                </c:pt>
                <c:pt idx="1">
                  <c:v>353.9</c:v>
                </c:pt>
                <c:pt idx="2">
                  <c:v>385.5</c:v>
                </c:pt>
                <c:pt idx="3">
                  <c:v>411.9</c:v>
                </c:pt>
                <c:pt idx="4" formatCode="0.0">
                  <c:v>440.2</c:v>
                </c:pt>
                <c:pt idx="5">
                  <c:v>577.20000000000005</c:v>
                </c:pt>
              </c:numCache>
            </c:numRef>
          </c:val>
        </c:ser>
        <c:dLbls/>
        <c:shape val="cylinder"/>
        <c:axId val="87381120"/>
        <c:axId val="87382656"/>
        <c:axId val="0"/>
      </c:bar3DChart>
      <c:catAx>
        <c:axId val="87381120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82656"/>
        <c:crosses val="autoZero"/>
        <c:auto val="1"/>
        <c:lblAlgn val="ctr"/>
        <c:lblOffset val="100"/>
        <c:tickLblSkip val="1"/>
        <c:tickMarkSkip val="1"/>
      </c:catAx>
      <c:valAx>
        <c:axId val="873826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81120"/>
        <c:crosses val="autoZero"/>
        <c:crossBetween val="between"/>
      </c:valAx>
      <c:spPr>
        <a:gradFill flip="none" rotWithShape="1">
          <a:gsLst>
            <a:gs pos="6000">
              <a:schemeClr val="accent4">
                <a:lumMod val="40000"/>
                <a:lumOff val="60000"/>
              </a:schemeClr>
            </a:gs>
            <a:gs pos="100000">
              <a:srgbClr val="000000">
                <a:gamma/>
                <a:shade val="46275"/>
                <a:invGamma/>
              </a:srgbClr>
            </a:gs>
          </a:gsLst>
          <a:path path="circle">
            <a:fillToRect l="100000" t="100000"/>
          </a:path>
          <a:tileRect r="-100000" b="-100000"/>
        </a:gradFill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plotArea>
      <c:layout/>
      <c:lineChart>
        <c:grouping val="stacked"/>
        <c:ser>
          <c:idx val="0"/>
          <c:order val="0"/>
          <c:cat>
            <c:strRef>
              <c:f>Лист1!$B$490:$K$490</c:f>
              <c:strCache>
                <c:ptCount val="10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  <c:pt idx="7">
                  <c:v>2019 год (оценка)</c:v>
                </c:pt>
                <c:pt idx="8">
                  <c:v>2020 год (прогноз)</c:v>
                </c:pt>
                <c:pt idx="9">
                  <c:v>2024 год (прогноз)</c:v>
                </c:pt>
              </c:strCache>
            </c:strRef>
          </c:cat>
          <c:val>
            <c:numRef>
              <c:f>Лист1!$B$491:$K$491</c:f>
              <c:numCache>
                <c:formatCode>General</c:formatCode>
                <c:ptCount val="10"/>
                <c:pt idx="0">
                  <c:v>835.2</c:v>
                </c:pt>
                <c:pt idx="1">
                  <c:v>925.5</c:v>
                </c:pt>
                <c:pt idx="2">
                  <c:v>1083.3</c:v>
                </c:pt>
                <c:pt idx="3" formatCode="0.0">
                  <c:v>1111.7</c:v>
                </c:pt>
                <c:pt idx="4">
                  <c:v>1085.7</c:v>
                </c:pt>
                <c:pt idx="5" formatCode="0.0">
                  <c:v>855.8</c:v>
                </c:pt>
                <c:pt idx="6" formatCode="0.0">
                  <c:v>871.1</c:v>
                </c:pt>
                <c:pt idx="7" formatCode="0.0">
                  <c:v>956.6</c:v>
                </c:pt>
                <c:pt idx="8" formatCode="0.0">
                  <c:v>1030</c:v>
                </c:pt>
                <c:pt idx="9" formatCode="0.0">
                  <c:v>1350</c:v>
                </c:pt>
              </c:numCache>
            </c:numRef>
          </c:val>
        </c:ser>
        <c:dLbls/>
        <c:marker val="1"/>
        <c:axId val="87631744"/>
        <c:axId val="87633280"/>
      </c:lineChart>
      <c:catAx>
        <c:axId val="87631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633280"/>
        <c:crosses val="autoZero"/>
        <c:auto val="1"/>
        <c:lblAlgn val="ctr"/>
        <c:lblOffset val="100"/>
      </c:catAx>
      <c:valAx>
        <c:axId val="8763328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  <a:alpha val="0"/>
                      <a:lumMod val="0"/>
                      <a:lumOff val="10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63174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gradFill>
          <a:gsLst>
            <a:gs pos="91000">
              <a:schemeClr val="accent1">
                <a:lumMod val="40000"/>
                <a:lumOff val="60000"/>
              </a:schemeClr>
            </a:gs>
            <a:gs pos="100000">
              <a:srgbClr val="000000">
                <a:gamma/>
                <a:shade val="46275"/>
                <a:invGamma/>
              </a:srgbClr>
            </a:gs>
          </a:gsLst>
          <a:path path="circle">
            <a:fillToRect l="100000" t="100000"/>
          </a:path>
        </a:gradFill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/>
              <a:t>Структура производства сельскохозяйственной продукции за  2018 год, %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Лист1!$A$28:$C$28</c:f>
              <c:strCache>
                <c:ptCount val="3"/>
                <c:pt idx="0">
                  <c:v>сельхозпредприятия</c:v>
                </c:pt>
                <c:pt idx="1">
                  <c:v>крестьянскофермерские хозяйства</c:v>
                </c:pt>
                <c:pt idx="2">
                  <c:v>личные подсобные хозяйства</c:v>
                </c:pt>
              </c:strCache>
            </c:strRef>
          </c:cat>
          <c:val>
            <c:numRef>
              <c:f>Лист1!$A$29:$C$29</c:f>
              <c:numCache>
                <c:formatCode>General</c:formatCode>
                <c:ptCount val="3"/>
                <c:pt idx="0">
                  <c:v>21.3</c:v>
                </c:pt>
                <c:pt idx="1">
                  <c:v>10.9</c:v>
                </c:pt>
                <c:pt idx="2">
                  <c:v>67.8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8409090909090917"/>
          <c:y val="4.4247915076267151E-2"/>
          <c:w val="0.67897727272727282"/>
          <c:h val="0.80236219338297765"/>
        </c:manualLayout>
      </c:layout>
      <c:barChart>
        <c:barDir val="bar"/>
        <c:grouping val="stack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5400000" vert="horz"/>
              <a:lstStyle/>
              <a:p>
                <a:pPr algn="ctr"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multiLvlStrRef>
              <c:f>Лист1!$A$90:$F$91</c:f>
              <c:multiLvlStrCache>
                <c:ptCount val="6"/>
                <c:lvl>
                  <c:pt idx="0">
                    <c:v>2016 г. (отчет)</c:v>
                  </c:pt>
                  <c:pt idx="1">
                    <c:v>2017 г. (отчет)</c:v>
                  </c:pt>
                  <c:pt idx="2">
                    <c:v>2018 г. (отчет)</c:v>
                  </c:pt>
                  <c:pt idx="3">
                    <c:v>2019 г. (оценка)</c:v>
                  </c:pt>
                  <c:pt idx="4">
                    <c:v>2020 г. (прогноз)</c:v>
                  </c:pt>
                  <c:pt idx="5">
                    <c:v>2024 г. (прогноз)</c:v>
                  </c:pt>
                </c:lvl>
                <c:lvl>
                  <c:pt idx="0">
                    <c:v>Ввод в эксплуатацию жилых домов (тыс. кв. м общей площади)</c:v>
                  </c:pt>
                </c:lvl>
              </c:multiLvlStrCache>
            </c:multiLvlStrRef>
          </c:cat>
          <c:val>
            <c:numRef>
              <c:f>Лист1!$A$92:$F$92</c:f>
              <c:numCache>
                <c:formatCode>0.00</c:formatCode>
                <c:ptCount val="6"/>
                <c:pt idx="0" formatCode="0.0">
                  <c:v>1</c:v>
                </c:pt>
                <c:pt idx="1">
                  <c:v>1.6500000000000001</c:v>
                </c:pt>
                <c:pt idx="2" formatCode="General">
                  <c:v>1.6500000000000001</c:v>
                </c:pt>
                <c:pt idx="3" formatCode="General">
                  <c:v>3.7</c:v>
                </c:pt>
                <c:pt idx="4" formatCode="General">
                  <c:v>3.8</c:v>
                </c:pt>
                <c:pt idx="5" formatCode="General">
                  <c:v>4.0999999999999996</c:v>
                </c:pt>
              </c:numCache>
            </c:numRef>
          </c:val>
        </c:ser>
        <c:dLbls/>
        <c:overlap val="100"/>
        <c:axId val="87952384"/>
        <c:axId val="87970560"/>
      </c:barChart>
      <c:catAx>
        <c:axId val="8795238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970560"/>
        <c:crosses val="autoZero"/>
        <c:auto val="1"/>
        <c:lblAlgn val="ctr"/>
        <c:lblOffset val="100"/>
        <c:tickLblSkip val="1"/>
        <c:tickMarkSkip val="1"/>
      </c:catAx>
      <c:valAx>
        <c:axId val="87970560"/>
        <c:scaling>
          <c:orientation val="minMax"/>
        </c:scaling>
        <c:axPos val="b"/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952384"/>
        <c:crosses val="autoZero"/>
        <c:crossBetween val="between"/>
      </c:valAx>
      <c:spPr>
        <a:gradFill>
          <a:gsLst>
            <a:gs pos="91000">
              <a:schemeClr val="accent1">
                <a:lumMod val="40000"/>
                <a:lumOff val="60000"/>
              </a:schemeClr>
            </a:gs>
            <a:gs pos="100000">
              <a:srgbClr val="000000">
                <a:gamma/>
                <a:shade val="46275"/>
                <a:invGamma/>
              </a:srgbClr>
            </a:gs>
          </a:gsLst>
          <a:path path="circle">
            <a:fillToRect l="100000" t="100000"/>
          </a:path>
        </a:gradFill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малого предпринимательства на 10 000 человек</a:t>
            </a:r>
          </a:p>
        </c:rich>
      </c:tx>
      <c:layout/>
    </c:title>
    <c:view3D>
      <c:rAngAx val="1"/>
    </c:view3D>
    <c:sideWall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Лист1!$A$4:$E$4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Лист1!$A$5:$E$5</c:f>
              <c:numCache>
                <c:formatCode>General</c:formatCode>
                <c:ptCount val="5"/>
                <c:pt idx="0">
                  <c:v>255.9</c:v>
                </c:pt>
                <c:pt idx="1">
                  <c:v>259.2</c:v>
                </c:pt>
                <c:pt idx="2">
                  <c:v>242.2</c:v>
                </c:pt>
                <c:pt idx="3">
                  <c:v>255.4</c:v>
                </c:pt>
                <c:pt idx="4">
                  <c:v>257.2</c:v>
                </c:pt>
              </c:numCache>
            </c:numRef>
          </c:val>
        </c:ser>
        <c:dLbls>
          <c:showVal val="1"/>
        </c:dLbls>
        <c:shape val="box"/>
        <c:axId val="87990656"/>
        <c:axId val="87992192"/>
        <c:axId val="0"/>
      </c:bar3DChart>
      <c:catAx>
        <c:axId val="87990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7992192"/>
        <c:crosses val="autoZero"/>
        <c:auto val="1"/>
        <c:lblAlgn val="ctr"/>
        <c:lblOffset val="100"/>
      </c:catAx>
      <c:valAx>
        <c:axId val="879921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799065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Число </a:t>
            </a:r>
            <a:r>
              <a:rPr lang="ru-RU" sz="1600"/>
              <a:t>индивидуальных</a:t>
            </a:r>
            <a:r>
              <a:rPr lang="ru-RU"/>
              <a:t> предпринимателей, человек</a:t>
            </a:r>
          </a:p>
        </c:rich>
      </c:tx>
      <c:layout/>
    </c:title>
    <c:view3D>
      <c:rAngAx val="1"/>
    </c:view3D>
    <c:sideWall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Лист1!$A$37:$E$37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Лист1!$A$38:$E$38</c:f>
              <c:numCache>
                <c:formatCode>General</c:formatCode>
                <c:ptCount val="5"/>
                <c:pt idx="0">
                  <c:v>248</c:v>
                </c:pt>
                <c:pt idx="1">
                  <c:v>255</c:v>
                </c:pt>
                <c:pt idx="2">
                  <c:v>243</c:v>
                </c:pt>
                <c:pt idx="3">
                  <c:v>256</c:v>
                </c:pt>
                <c:pt idx="4">
                  <c:v>261</c:v>
                </c:pt>
              </c:numCache>
            </c:numRef>
          </c:val>
        </c:ser>
        <c:dLbls>
          <c:showVal val="1"/>
        </c:dLbls>
        <c:shape val="box"/>
        <c:axId val="88020480"/>
        <c:axId val="88022016"/>
        <c:axId val="0"/>
      </c:bar3DChart>
      <c:catAx>
        <c:axId val="88020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8022016"/>
        <c:crosses val="autoZero"/>
        <c:auto val="1"/>
        <c:lblAlgn val="ctr"/>
        <c:lblOffset val="100"/>
      </c:catAx>
      <c:valAx>
        <c:axId val="88022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802048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4476811237289959E-2"/>
          <c:y val="8.3333584507572903E-2"/>
          <c:w val="0.88517504682322434"/>
          <c:h val="0.71605154095395962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Лист1!$A$144:$F$145</c:f>
              <c:multiLvlStrCache>
                <c:ptCount val="6"/>
                <c:lvl>
                  <c:pt idx="0">
                    <c:v>2016 г. (отчет)</c:v>
                  </c:pt>
                  <c:pt idx="1">
                    <c:v>2017 г. (отчет)</c:v>
                  </c:pt>
                  <c:pt idx="2">
                    <c:v>2018 г. (отчет)</c:v>
                  </c:pt>
                  <c:pt idx="3">
                    <c:v>2019 г. (оценка)</c:v>
                  </c:pt>
                  <c:pt idx="4">
                    <c:v>2020 г. (прогноз)</c:v>
                  </c:pt>
                  <c:pt idx="5">
                    <c:v>2024 г. (прогноз)</c:v>
                  </c:pt>
                </c:lvl>
                <c:lvl>
                  <c:pt idx="0">
                    <c:v>Объем инвестиций в % к предыдущему году (в сопоставимых ценах)</c:v>
                  </c:pt>
                </c:lvl>
              </c:multiLvlStrCache>
            </c:multiLvlStrRef>
          </c:cat>
          <c:val>
            <c:numRef>
              <c:f>Лист1!$A$146:$F$146</c:f>
              <c:numCache>
                <c:formatCode>General</c:formatCode>
                <c:ptCount val="6"/>
                <c:pt idx="0" formatCode="0.0">
                  <c:v>99.5</c:v>
                </c:pt>
                <c:pt idx="1">
                  <c:v>33.5</c:v>
                </c:pt>
                <c:pt idx="2">
                  <c:v>232.5</c:v>
                </c:pt>
                <c:pt idx="3" formatCode="0.00">
                  <c:v>90.83</c:v>
                </c:pt>
                <c:pt idx="4" formatCode="0.00">
                  <c:v>104.48</c:v>
                </c:pt>
                <c:pt idx="5" formatCode="0.00">
                  <c:v>105.54</c:v>
                </c:pt>
              </c:numCache>
            </c:numRef>
          </c:val>
        </c:ser>
        <c:dLbls/>
        <c:marker val="1"/>
        <c:axId val="88054400"/>
        <c:axId val="88076672"/>
      </c:lineChart>
      <c:catAx>
        <c:axId val="88054400"/>
        <c:scaling>
          <c:orientation val="minMax"/>
        </c:scaling>
        <c:axPos val="b"/>
        <c:numFmt formatCode="General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76672"/>
        <c:crosses val="autoZero"/>
        <c:auto val="1"/>
        <c:lblAlgn val="ctr"/>
        <c:lblOffset val="100"/>
        <c:tickLblSkip val="1"/>
        <c:tickMarkSkip val="1"/>
      </c:catAx>
      <c:valAx>
        <c:axId val="88076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54400"/>
        <c:crosses val="autoZero"/>
        <c:crossBetween val="between"/>
      </c:valAx>
      <c:spPr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rgbClr val="FFFFFF">
                <a:alpha val="6000"/>
                <a:lumMod val="17000"/>
                <a:lumOff val="83000"/>
              </a:srgbClr>
            </a:gs>
            <a:gs pos="100000">
              <a:srgbClr val="000000">
                <a:gamma/>
                <a:shade val="46275"/>
                <a:invGamma/>
              </a:srgbClr>
            </a:gs>
          </a:gsLst>
          <a:lin ang="5400000" scaled="1"/>
        </a:gradFill>
        <a:ln w="25400">
          <a:noFill/>
        </a:ln>
      </c:spPr>
    </c:plotArea>
    <c:plotVisOnly val="1"/>
    <c:dispBlanksAs val="gap"/>
  </c:chart>
  <c:spPr>
    <a:gradFill rotWithShape="0">
      <a:gsLst>
        <a:gs pos="0">
          <a:schemeClr val="accent2">
            <a:lumMod val="20000"/>
            <a:lumOff val="80000"/>
          </a:schemeClr>
        </a:gs>
        <a:gs pos="88000">
          <a:schemeClr val="accent2">
            <a:lumMod val="20000"/>
            <a:lumOff val="80000"/>
          </a:schemeClr>
        </a:gs>
        <a:gs pos="100000">
          <a:srgbClr val="000000">
            <a:gamma/>
            <a:shade val="46275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Топилина</dc:creator>
  <cp:lastModifiedBy>Татьяна П. Фирсова</cp:lastModifiedBy>
  <cp:revision>4</cp:revision>
  <dcterms:created xsi:type="dcterms:W3CDTF">2020-02-19T01:15:00Z</dcterms:created>
  <dcterms:modified xsi:type="dcterms:W3CDTF">2020-04-10T05:01:00Z</dcterms:modified>
</cp:coreProperties>
</file>