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3929" w14:textId="77777777" w:rsidR="00B3784E" w:rsidRPr="007F0211" w:rsidRDefault="00B3784E" w:rsidP="00B3784E">
      <w:pPr>
        <w:pStyle w:val="Pa16"/>
        <w:ind w:firstLine="220"/>
        <w:jc w:val="center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</w:t>
      </w:r>
    </w:p>
    <w:p w14:paraId="4E60B7A1" w14:textId="37256C48" w:rsidR="00B3784E" w:rsidRPr="007F0211" w:rsidRDefault="00B3784E" w:rsidP="00B3784E">
      <w:pPr>
        <w:pStyle w:val="Pa16"/>
        <w:ind w:firstLine="220"/>
        <w:jc w:val="center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в электронной форме по продаже муниципального движимого имущества </w:t>
      </w:r>
      <w:r w:rsidR="007F0211">
        <w:rPr>
          <w:rStyle w:val="A16"/>
          <w:rFonts w:ascii="Times New Roman" w:hAnsi="Times New Roman" w:cs="Times New Roman"/>
          <w:b/>
          <w:bCs/>
          <w:sz w:val="24"/>
          <w:szCs w:val="24"/>
        </w:rPr>
        <w:t>–</w:t>
      </w:r>
      <w:r w:rsidRPr="007F0211">
        <w:rPr>
          <w:rStyle w:val="A16"/>
          <w:rFonts w:ascii="Times New Roman" w:hAnsi="Times New Roman" w:cs="Times New Roman"/>
          <w:b/>
          <w:bCs/>
          <w:sz w:val="24"/>
          <w:szCs w:val="24"/>
        </w:rPr>
        <w:t xml:space="preserve">автобуса ПАЗ – 32053-70 </w:t>
      </w:r>
    </w:p>
    <w:p w14:paraId="52C7154B" w14:textId="77777777" w:rsidR="00B3784E" w:rsidRPr="007F0211" w:rsidRDefault="00B3784E" w:rsidP="00B3784E">
      <w:pPr>
        <w:pStyle w:val="Pa5"/>
        <w:ind w:firstLine="220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Продавец – Администрация Анучинского муниципального округа Приморского края ОГРН 1202500020117, фактический и юридический адрес: 692300, Приморский край, Анучинский район, с. Анучино, ул. Лазо,6, офис 20 </w:t>
      </w:r>
    </w:p>
    <w:p w14:paraId="69DA3404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Сведения об Имуществе </w:t>
      </w:r>
    </w:p>
    <w:p w14:paraId="730A5B1C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3.1. Основание проведения торгов – распоряжение администрации Анучинского муниципального округа Приморского края от 18.08 2022 г. №404 -р </w:t>
      </w:r>
    </w:p>
    <w:p w14:paraId="6F564352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3.2. Собственник выставляемого на торги имущества – Анучинский муниципальный округ </w:t>
      </w:r>
    </w:p>
    <w:p w14:paraId="5B618E42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3.3. Организатор: </w:t>
      </w:r>
    </w:p>
    <w:p w14:paraId="489B625A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Наименование – АО «Российский аукционный дом». </w:t>
      </w:r>
    </w:p>
    <w:p w14:paraId="0C18F183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Адрес - 190000, Санкт-Петербург, Гривцова пер., д. 5, лит. В. </w:t>
      </w:r>
    </w:p>
    <w:p w14:paraId="33F5E7C3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Сайт - http://lot-online.ru. </w:t>
      </w:r>
    </w:p>
    <w:p w14:paraId="7BC8EE04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3.4. Продавец: </w:t>
      </w:r>
    </w:p>
    <w:p w14:paraId="666008E9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Наименование – Администрация Анучинского муниципального округа Приморского края. </w:t>
      </w:r>
    </w:p>
    <w:p w14:paraId="0D42BD6C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Адрес 692300, Приморский край, Анучинский район, с. Анучино, ул. Лазо,6, офис 20. </w:t>
      </w:r>
    </w:p>
    <w:p w14:paraId="5469857D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Сайт – http://анучинский.рф </w:t>
      </w:r>
    </w:p>
    <w:p w14:paraId="6F330185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Телефон – 8 (42362) 91-6-07. </w:t>
      </w:r>
    </w:p>
    <w:p w14:paraId="12CE47DA" w14:textId="77777777" w:rsidR="00B3784E" w:rsidRPr="007F0211" w:rsidRDefault="00B3784E" w:rsidP="007F0211">
      <w:pPr>
        <w:pStyle w:val="Pa5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3.5. Форма аукциона (способ приватизации) – аукцион в электронной форме, открытый по составу участников и по форме по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дачи предложений о цене имущества. </w:t>
      </w:r>
    </w:p>
    <w:p w14:paraId="0EA7257A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3.6. Сведения об Имуществе (лоте), выставляемом на аукци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оне в электронной форме: </w:t>
      </w:r>
    </w:p>
    <w:p w14:paraId="3D558466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3.6.1. Наименование выставляемого на продажу движимого Имуще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ства (лота) </w:t>
      </w:r>
    </w:p>
    <w:p w14:paraId="14C5170C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автобус ПАЗ 32053-70 </w:t>
      </w:r>
    </w:p>
    <w:p w14:paraId="6811E09A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Характеристика движимого имущества. </w:t>
      </w:r>
    </w:p>
    <w:p w14:paraId="10E26B76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Автомобиль -автобус ПАЗ – 32053-70, идентификационный номер (VIN) X1M3205EX60009557, год выпуска 2006, модель, № двигателя 523400 61023146, шасси (рама) отсутствует, кузов(кабина, прицеп) 60009557, цвет кузова (кабины) желтый, мощность двигателя, л.с – 130, рабочий объем двигателя, куб.см. - 4670, тип двигателя — бензиновый, разрешенная максимальная масса, кг - 6180, масса без нагрузки, кг. - 5090, организация изготовитель ООО «Павловский автобусный завод» Россия, одобрение типа ИТО2.Е04831,25.09.2006, паспорт транспорт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ного средства 52 МА № 201324, выдан ООО «Павловский автобусный завод»22.01.2007 г, СОРТС 25 РЕ 050202, регистрационный знак О564ЕС 125/RUS </w:t>
      </w:r>
    </w:p>
    <w:p w14:paraId="5941367A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Начальная цена (лота) – 122 400 (Сто двадцать две тысячи четыре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ста) рублей 00 копеек, с учетом НДС </w:t>
      </w:r>
    </w:p>
    <w:p w14:paraId="35D3D165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Шаг аукциона (величина повышения цены) – 6 120 (шесть тысяч сто двадцать) рублей 00 копеек. </w:t>
      </w:r>
    </w:p>
    <w:p w14:paraId="1A14D8D3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Размер задатка – 24 480 (двадцать четыре тысячи четыреста во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семьдесят) рублей 00 копеек. </w:t>
      </w:r>
    </w:p>
    <w:p w14:paraId="2CCED4EB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Срок внесения задатка – с 14 сентября2022 г. по 16 ок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>тября 2022 г. Задаток должен поступить на указанный в ин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формационном сообщении счет Продавца не позднее 20 октября 2022 г. </w:t>
      </w:r>
    </w:p>
    <w:p w14:paraId="15CB130A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Сведения о предыдущих торгах по продаже имущества, объявлен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ных в течение года, предшествующего его продаже – имущество на продажу ранее не выставлялось. </w:t>
      </w:r>
    </w:p>
    <w:p w14:paraId="2AA62E0B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4. Место, сроки подачи (приема) заявок, определения участников и проведения </w:t>
      </w:r>
    </w:p>
    <w:p w14:paraId="44411371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аукциона </w:t>
      </w:r>
    </w:p>
    <w:p w14:paraId="0F93BFC7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4.1. Место подачи (приема) Заявок и подведения итогов аукциона: электронная торговая площадка www.lot-online.ru. </w:t>
      </w:r>
    </w:p>
    <w:p w14:paraId="3230F416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4.2. Дата и время начала подачи (приема): 14 сентября 2022 г. в 9:00; </w:t>
      </w:r>
    </w:p>
    <w:p w14:paraId="1B10ABB6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Подача Заявок осуществляется круглосуточно. </w:t>
      </w:r>
    </w:p>
    <w:p w14:paraId="2C1B6B93" w14:textId="521190A7" w:rsidR="00227D36" w:rsidRPr="007F0211" w:rsidRDefault="00B3784E" w:rsidP="00B3784E">
      <w:pPr>
        <w:rPr>
          <w:rStyle w:val="A16"/>
          <w:rFonts w:ascii="Times New Roman" w:hAnsi="Times New Roman" w:cs="Times New Roman"/>
          <w:sz w:val="24"/>
          <w:szCs w:val="24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4.3. Дата и время окончания подачи (приема): 16 октября 2022 г. в 9:00.</w:t>
      </w:r>
    </w:p>
    <w:p w14:paraId="45F711B7" w14:textId="77777777" w:rsidR="00B3784E" w:rsidRPr="007F0211" w:rsidRDefault="00B3784E" w:rsidP="00B3784E">
      <w:pPr>
        <w:pStyle w:val="Pa5"/>
        <w:ind w:firstLine="220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4.4. Дата и время определения Участников: 17 октября 2022 г. в 9:00 </w:t>
      </w:r>
    </w:p>
    <w:p w14:paraId="326F6130" w14:textId="77777777" w:rsidR="00B3784E" w:rsidRPr="007F0211" w:rsidRDefault="00B3784E" w:rsidP="00B3784E">
      <w:pPr>
        <w:pStyle w:val="Pa5"/>
        <w:ind w:firstLine="220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lastRenderedPageBreak/>
        <w:t xml:space="preserve">4.5. Дата, время и срок проведения аукциона: 20 октября 2022 г. в 9:00 и до последнего предложения Участников. </w:t>
      </w:r>
    </w:p>
    <w:p w14:paraId="75F041C1" w14:textId="77777777" w:rsidR="00B3784E" w:rsidRPr="007F0211" w:rsidRDefault="00B3784E" w:rsidP="00B3784E">
      <w:pPr>
        <w:pStyle w:val="Pa5"/>
        <w:ind w:firstLine="220"/>
        <w:jc w:val="both"/>
        <w:rPr>
          <w:rFonts w:ascii="Times New Roman" w:hAnsi="Times New Roman" w:cs="Times New Roman"/>
          <w:color w:val="000000"/>
        </w:rPr>
      </w:pPr>
      <w:r w:rsidRPr="007F0211">
        <w:rPr>
          <w:rStyle w:val="A16"/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Местное), время сервера электронной торговой площадки - Москов</w:t>
      </w:r>
      <w:r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ское). </w:t>
      </w:r>
    </w:p>
    <w:p w14:paraId="10D39F58" w14:textId="63E3CF9E" w:rsidR="00B3784E" w:rsidRPr="007F0211" w:rsidRDefault="008A421E" w:rsidP="008A421E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5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t>. Информация о проведении аукциона размещается на офи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>циальном сайте Российской Федерации в сети «Интернет» www.torgi. gov.ru, на сайте Продавца в сети «Интернет» www.auction-house.ru и на сайте электронной площадки анучинский.рф</w:t>
      </w:r>
      <w:r>
        <w:rPr>
          <w:rStyle w:val="A16"/>
          <w:rFonts w:ascii="Times New Roman" w:hAnsi="Times New Roman" w:cs="Times New Roman"/>
          <w:sz w:val="24"/>
          <w:szCs w:val="24"/>
        </w:rPr>
        <w:t>.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</w:p>
    <w:p w14:paraId="21949B0F" w14:textId="74F286DA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6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t>. С дополнительной информацией об участии в торгах, о по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>рядке проведения торгов, с формой заявки, условиями договора куп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>ли-продажи, претенденты могут ознакомиться на официальном сайте Российской Федерации в сети «Интернет» www.torgi.gov.ru, на офици</w:t>
      </w:r>
      <w:r w:rsidR="00B3784E" w:rsidRPr="007F0211">
        <w:rPr>
          <w:rStyle w:val="A16"/>
          <w:rFonts w:ascii="Times New Roman" w:hAnsi="Times New Roman" w:cs="Times New Roman"/>
          <w:sz w:val="24"/>
          <w:szCs w:val="24"/>
        </w:rPr>
        <w:softHyphen/>
        <w:t xml:space="preserve">альном сайте Продавца в сети «Интернет» анучинский.рф, на сайте в сети «Интернет» Оператора (электронная площадка) www.lot-online.ru и по телефону: 8-800-777-57-57, доб. 236, 278, 275. </w:t>
      </w:r>
    </w:p>
    <w:p w14:paraId="41AB688B" w14:textId="3C3FD09F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color w:val="auto"/>
          <w:sz w:val="24"/>
          <w:szCs w:val="24"/>
        </w:rPr>
        <w:t>7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. Срок заключения договора купли продажи имущества </w:t>
      </w:r>
    </w:p>
    <w:p w14:paraId="67D68086" w14:textId="01B586CE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color w:val="auto"/>
          <w:sz w:val="24"/>
          <w:szCs w:val="24"/>
        </w:rPr>
        <w:t>8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>. Договор купли-продажи имущества заключается между Про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 xml:space="preserve">давцом и победителем аукциона в установленном законодательством порядке в течение 5 (пяти) рабочих дней с даты подведения итогов аукциона. </w:t>
      </w:r>
    </w:p>
    <w:p w14:paraId="2B0D8154" w14:textId="47800990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color w:val="auto"/>
          <w:sz w:val="24"/>
          <w:szCs w:val="24"/>
        </w:rPr>
        <w:t>9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>. При уклонении или отказе победителя от заключения в уста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>новленный срок договора купли-продажи имущества результаты аук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>циона аннулируются Продавцом, победитель утрачивает право на за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 xml:space="preserve">ключение указанного договора, задаток ему не возвращается. </w:t>
      </w:r>
    </w:p>
    <w:p w14:paraId="40273587" w14:textId="07CCA335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color w:val="auto"/>
          <w:sz w:val="24"/>
          <w:szCs w:val="24"/>
        </w:rPr>
        <w:t>10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>. Ответственность покупателя в случае его отказа или уклоне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>ния от оплаты имущества в установленные сроки предусматривается в соответствии с законодательством Российской Федерации в догово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>ре купли-продажи имущества, задаток ему не возвращается. Денеж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softHyphen/>
        <w:t xml:space="preserve">ные средства в счет оплаты приватизируемого имущества подлежат перечислению (единовременно в безналичном порядке) победителем аукциона в бюджет Анучинского муниципального округа на счет по следующим реквизитам: </w:t>
      </w:r>
    </w:p>
    <w:p w14:paraId="3B3D56DB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Получатель: </w:t>
      </w:r>
    </w:p>
    <w:p w14:paraId="3B39EF18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ИНН 2501020308, КПП 250101001 </w:t>
      </w:r>
    </w:p>
    <w:p w14:paraId="389635E6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ФЭУ АДМИНИСТРАЦИИ АНУЧИНСКОГО МО (АДМИНИСТРАЦИЯ АМО) </w:t>
      </w:r>
    </w:p>
    <w:p w14:paraId="759E8BA6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л/c04203D03500 </w:t>
      </w:r>
    </w:p>
    <w:p w14:paraId="5E604A00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БИК 010507002 </w:t>
      </w:r>
    </w:p>
    <w:p w14:paraId="2F03D504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ДАЛЬНЕВОСТОЧНОЕ ГУ БАНКА РОССИИ//УФК по Приморскому краю </w:t>
      </w:r>
    </w:p>
    <w:p w14:paraId="410FCD53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г. Владивосток </w:t>
      </w:r>
    </w:p>
    <w:p w14:paraId="1644BEF3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р/сч: 03100643000000012000 </w:t>
      </w:r>
    </w:p>
    <w:p w14:paraId="665E22ED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кор/сч: 40102810545370000012 </w:t>
      </w:r>
    </w:p>
    <w:p w14:paraId="446ED635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ОКТМО 05502000 </w:t>
      </w:r>
    </w:p>
    <w:p w14:paraId="6B1C8F9C" w14:textId="77777777" w:rsidR="00B3784E" w:rsidRPr="007F0211" w:rsidRDefault="00B3784E" w:rsidP="00B3784E">
      <w:pPr>
        <w:pStyle w:val="Pa5"/>
        <w:jc w:val="both"/>
        <w:rPr>
          <w:rFonts w:ascii="Times New Roman" w:hAnsi="Times New Roman" w:cs="Times New Roman"/>
        </w:rPr>
      </w:pPr>
      <w:r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Код налога 920 114 02043 14 0000 410 </w:t>
      </w:r>
    </w:p>
    <w:p w14:paraId="41BE4424" w14:textId="3A8538F4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color w:val="auto"/>
          <w:sz w:val="24"/>
          <w:szCs w:val="24"/>
        </w:rPr>
        <w:t>11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. Задаток, перечисленный покупателем для участия в аукционе, засчитывается в счет оплаты имущества. </w:t>
      </w:r>
    </w:p>
    <w:p w14:paraId="3B48E548" w14:textId="60EC9DA4" w:rsidR="00B3784E" w:rsidRPr="007F0211" w:rsidRDefault="008A421E" w:rsidP="00B3784E">
      <w:pPr>
        <w:pStyle w:val="Pa5"/>
        <w:jc w:val="both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color w:val="auto"/>
          <w:sz w:val="24"/>
          <w:szCs w:val="24"/>
        </w:rPr>
        <w:t>12</w:t>
      </w:r>
      <w:r w:rsidR="00B3784E" w:rsidRPr="007F0211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. Факт оплаты имущества подтверждается выпиской со счета о поступлении средств в размере и сроки, указанные в договоре купли- продажи. </w:t>
      </w:r>
    </w:p>
    <w:sectPr w:rsidR="00B3784E" w:rsidRPr="007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E"/>
    <w:rsid w:val="00227D36"/>
    <w:rsid w:val="0042541F"/>
    <w:rsid w:val="007F0211"/>
    <w:rsid w:val="008A421E"/>
    <w:rsid w:val="00B3784E"/>
    <w:rsid w:val="00E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0FED"/>
  <w15:chartTrackingRefBased/>
  <w15:docId w15:val="{4E3B9340-B17D-43DB-A211-F2DDA91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84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B3784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B3784E"/>
    <w:rPr>
      <w:rFonts w:cs="Myriad Pro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B3784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4</cp:revision>
  <dcterms:created xsi:type="dcterms:W3CDTF">2022-09-19T01:18:00Z</dcterms:created>
  <dcterms:modified xsi:type="dcterms:W3CDTF">2022-09-20T23:22:00Z</dcterms:modified>
</cp:coreProperties>
</file>