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firstLine="3080" w:firstLineChars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>
      <w:pPr>
        <w:jc w:val="center"/>
        <w:rPr>
          <w:sz w:val="28"/>
          <w:szCs w:val="28"/>
        </w:rPr>
      </w:pPr>
    </w:p>
    <w:p>
      <w:pPr>
        <w:ind w:left="0" w:leftChars="0" w:firstLine="280" w:firstLineChars="10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               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с.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Анучино  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№</w:t>
      </w:r>
      <w:r>
        <w:rPr>
          <w:rFonts w:hint="default"/>
          <w:sz w:val="28"/>
          <w:szCs w:val="28"/>
          <w:lang w:val="ru-RU"/>
        </w:rPr>
        <w:t xml:space="preserve"> _______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Анучинском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№555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3"/>
        <w:tblW w:w="971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firstLine="719" w:firstLineChars="25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округа Приморского края, </w:t>
            </w:r>
            <w:r>
              <w:rPr>
                <w:sz w:val="28"/>
                <w:szCs w:val="28"/>
              </w:rPr>
              <w:t>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0" w:leftChars="0" w:firstLine="719" w:firstLineChars="257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0" w:leftChars="0" w:firstLine="719" w:firstLineChars="257"/>
        <w:jc w:val="both"/>
        <w:rPr>
          <w:sz w:val="28"/>
          <w:szCs w:val="28"/>
        </w:rPr>
      </w:pPr>
    </w:p>
    <w:p>
      <w:pPr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ind w:left="0" w:leftChars="0" w:firstLine="719" w:firstLineChars="257"/>
        <w:jc w:val="both"/>
        <w:rPr>
          <w:sz w:val="28"/>
          <w:szCs w:val="28"/>
        </w:rPr>
      </w:pPr>
    </w:p>
    <w:p>
      <w:pPr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right="-6" w:firstLine="719" w:firstLineChars="257"/>
        <w:jc w:val="both"/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1.</w:t>
      </w:r>
      <w:r>
        <w:rPr>
          <w:b w:val="0"/>
          <w:bCs w:val="0"/>
          <w:sz w:val="28"/>
          <w:szCs w:val="28"/>
        </w:rPr>
        <w:t xml:space="preserve">Внести  в постановление администрации Анучинского муниципального района от </w:t>
      </w:r>
      <w:r>
        <w:rPr>
          <w:rFonts w:hint="default"/>
          <w:b w:val="0"/>
          <w:bCs w:val="0"/>
          <w:sz w:val="28"/>
          <w:szCs w:val="28"/>
          <w:lang w:val="ru-RU"/>
        </w:rPr>
        <w:t>30</w:t>
      </w:r>
      <w:r>
        <w:rPr>
          <w:b w:val="0"/>
          <w:bCs w:val="0"/>
          <w:sz w:val="28"/>
          <w:szCs w:val="28"/>
        </w:rPr>
        <w:t>.09.201</w:t>
      </w:r>
      <w:r>
        <w:rPr>
          <w:rFonts w:hint="default"/>
          <w:b w:val="0"/>
          <w:bCs w:val="0"/>
          <w:sz w:val="28"/>
          <w:szCs w:val="28"/>
          <w:lang w:val="ru-RU"/>
        </w:rPr>
        <w:t>9</w:t>
      </w:r>
      <w:r>
        <w:rPr>
          <w:b w:val="0"/>
          <w:bCs w:val="0"/>
          <w:sz w:val="28"/>
          <w:szCs w:val="28"/>
        </w:rPr>
        <w:t xml:space="preserve"> №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555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«Об утверждении муниципальной программы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««Комплексные меры по противодействию экстремизму, терроризму, правонарушениям и наркомании в Анучинском муниципальном округе на 2020-2024 годы»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далее Постановление)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изменения:</w:t>
      </w:r>
    </w:p>
    <w:p>
      <w:pPr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719" w:firstLineChars="2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В наименовании и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по тексту Постановления слова «…202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годы»  заменить  на слова « …202</w:t>
      </w:r>
      <w:r>
        <w:rPr>
          <w:rFonts w:hint="default"/>
          <w:b w:val="0"/>
          <w:bCs w:val="0"/>
          <w:sz w:val="28"/>
          <w:szCs w:val="28"/>
          <w:lang w:val="ru-RU"/>
        </w:rPr>
        <w:t>6</w:t>
      </w:r>
      <w:r>
        <w:rPr>
          <w:b w:val="0"/>
          <w:bCs w:val="0"/>
          <w:sz w:val="28"/>
          <w:szCs w:val="28"/>
        </w:rPr>
        <w:t>годы».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719" w:firstLineChars="257"/>
        <w:jc w:val="both"/>
        <w:rPr>
          <w:b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нести</w:t>
      </w:r>
      <w:r>
        <w:rPr>
          <w:rFonts w:hint="default"/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>экстремизму, терроризму, правонарушениям и наркомании</w:t>
      </w:r>
      <w:r>
        <w:rPr>
          <w:bCs/>
          <w:sz w:val="28"/>
          <w:szCs w:val="28"/>
        </w:rPr>
        <w:t xml:space="preserve"> в Анучинском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2.1. </w:t>
      </w:r>
      <w:r>
        <w:rPr>
          <w:b w:val="0"/>
          <w:bCs w:val="0"/>
          <w:sz w:val="28"/>
          <w:szCs w:val="28"/>
        </w:rPr>
        <w:t>В наименовании и   по тексту П</w:t>
      </w:r>
      <w:r>
        <w:rPr>
          <w:b w:val="0"/>
          <w:bCs w:val="0"/>
          <w:sz w:val="28"/>
          <w:szCs w:val="28"/>
          <w:lang w:val="ru-RU"/>
        </w:rPr>
        <w:t>рограммы</w:t>
      </w:r>
      <w:r>
        <w:rPr>
          <w:b w:val="0"/>
          <w:bCs w:val="0"/>
          <w:sz w:val="28"/>
          <w:szCs w:val="28"/>
        </w:rPr>
        <w:t xml:space="preserve"> слова «…202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годы»  заменить  на слова « …202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6 </w:t>
      </w:r>
      <w:r>
        <w:rPr>
          <w:b w:val="0"/>
          <w:bCs w:val="0"/>
          <w:sz w:val="28"/>
          <w:szCs w:val="28"/>
        </w:rPr>
        <w:t>годы»</w:t>
      </w:r>
    </w:p>
    <w:p>
      <w:pPr>
        <w:pStyle w:val="6"/>
        <w:numPr>
          <w:ilvl w:val="0"/>
          <w:numId w:val="0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leftChars="0" w:right="10" w:rightChars="0" w:firstLine="719" w:firstLineChars="2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ind w:left="0" w:leftChars="0" w:firstLine="719" w:firstLineChars="2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544,6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г.- 62,2 тыс.рублей;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тыс.рублей;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г.- 80,4 тыс.рублей;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г.- 80,4 тыс.рублей;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г.- 80,4 тыс.рублей</w:t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2026 г. - 80,4 </w:t>
            </w:r>
            <w:r>
              <w:rPr>
                <w:sz w:val="28"/>
                <w:szCs w:val="28"/>
              </w:rPr>
              <w:t>тыс.рублей</w:t>
            </w:r>
          </w:p>
          <w:p>
            <w:pPr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>
            <w:pPr>
              <w:ind w:left="0" w:leftChars="0" w:firstLine="0" w:firstLineChars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pStyle w:val="10"/>
        <w:numPr>
          <w:ilvl w:val="0"/>
          <w:numId w:val="0"/>
        </w:numPr>
        <w:shd w:val="clear" w:color="auto" w:fill="FFFFFF"/>
        <w:spacing w:before="108" w:after="108"/>
        <w:ind w:left="0" w:leftChars="0" w:firstLine="719" w:firstLineChars="257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2.3. </w:t>
      </w:r>
      <w:r>
        <w:rPr>
          <w:sz w:val="28"/>
          <w:szCs w:val="28"/>
        </w:rPr>
        <w:t>Паспорт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>
      <w:pPr>
        <w:shd w:val="clear" w:color="auto" w:fill="FFFFFF"/>
        <w:ind w:left="0" w:leftChars="0" w:firstLine="719" w:firstLineChars="2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7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2085"/>
        <w:gridCol w:w="1080"/>
        <w:gridCol w:w="1098"/>
        <w:gridCol w:w="338"/>
        <w:gridCol w:w="392"/>
        <w:gridCol w:w="404"/>
        <w:gridCol w:w="240"/>
        <w:gridCol w:w="591"/>
        <w:gridCol w:w="585"/>
        <w:gridCol w:w="630"/>
        <w:gridCol w:w="585"/>
        <w:gridCol w:w="630"/>
        <w:gridCol w:w="57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85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098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374" w:type="dxa"/>
            <w:gridSpan w:val="4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61" w:type="dxa"/>
            <w:gridSpan w:val="7"/>
          </w:tcPr>
          <w:p>
            <w:pPr>
              <w:ind w:left="0" w:leftChars="0" w:firstLine="514" w:firstLineChars="2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4" w:type="dxa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0" w:type="dxa"/>
          </w:tcPr>
          <w:p>
            <w:pPr>
              <w:ind w:left="0" w:leftChars="0" w:firstLine="514" w:firstLineChars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1" w:type="dxa"/>
            <w:textDirection w:val="btLr"/>
            <w:vAlign w:val="center"/>
          </w:tcPr>
          <w:p>
            <w:pPr>
              <w:ind w:left="0" w:leftChars="0" w:right="113" w:firstLine="411" w:firstLineChars="2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5" w:type="dxa"/>
            <w:textDirection w:val="btLr"/>
            <w:vAlign w:val="center"/>
          </w:tcPr>
          <w:p>
            <w:pPr>
              <w:ind w:left="0" w:leftChars="0" w:right="113" w:firstLine="411" w:firstLineChars="2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ind w:left="0" w:leftChars="0" w:right="113" w:firstLine="411" w:firstLineChars="2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5" w:type="dxa"/>
            <w:textDirection w:val="btLr"/>
            <w:vAlign w:val="center"/>
          </w:tcPr>
          <w:p>
            <w:pPr>
              <w:ind w:left="0" w:leftChars="0" w:right="113" w:firstLine="411" w:firstLineChars="2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ind w:left="0" w:leftChars="0" w:right="113" w:firstLine="411" w:firstLineChars="2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textDirection w:val="btLr"/>
            <w:vAlign w:val="center"/>
          </w:tcPr>
          <w:p>
            <w:pPr>
              <w:ind w:left="0" w:leftChars="0" w:right="113" w:rightChars="0" w:firstLine="411" w:firstLineChars="257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val="en-US" w:eastAsia="ru-RU" w:bidi="ar-SA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70" w:type="dxa"/>
            <w:textDirection w:val="btLr"/>
            <w:vAlign w:val="center"/>
          </w:tcPr>
          <w:p>
            <w:pPr>
              <w:ind w:left="0" w:leftChars="0" w:right="113" w:rightChars="0" w:firstLine="411" w:firstLineChars="257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ind w:left="0" w:leftChars="0" w:firstLine="0" w:firstLineChars="0"/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Анучинском муниципальном округе 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>
            <w:pPr>
              <w:ind w:left="0" w:leftChars="0" w:firstLine="0" w:firstLineChars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  <w:vAlign w:val="top"/>
          </w:tcPr>
          <w:p>
            <w:pPr>
              <w:jc w:val="left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  <w:vAlign w:val="top"/>
          </w:tcPr>
          <w:p>
            <w:pPr>
              <w:jc w:val="left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Анучинском муниципальном округе»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pStyle w:val="12"/>
              <w:widowControl/>
              <w:ind w:left="0" w:leftChars="0" w:firstLine="0" w:firstLineChars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>
            <w:pPr>
              <w:pStyle w:val="12"/>
              <w:widowControl/>
              <w:ind w:left="0" w:leftChars="0" w:firstLine="0" w:firstLineChars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080" w:type="dxa"/>
            <w:vMerge w:val="restart"/>
          </w:tcPr>
          <w:p>
            <w:pPr>
              <w:pStyle w:val="12"/>
              <w:widowControl/>
              <w:ind w:left="0" w:leftChars="0" w:firstLine="0" w:firstLineChars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>
            <w:pPr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t>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vMerge w:val="restart"/>
          </w:tcPr>
          <w:p>
            <w:pPr>
              <w:ind w:left="0" w:leftChars="0" w:firstLine="0" w:firstLineChars="0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Отдел соцразвития, ГО и ЧС, ХОЗУ  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</w:tcPr>
          <w:p>
            <w:pPr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30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top"/>
          </w:tcPr>
          <w:p>
            <w:pPr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>
            <w:pPr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культурно-досуговые  учреждения.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АМО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 в отношении определенных категорий лиц и по отдельным видам противоправной деятельности,  в т.ч. несовершеннолетних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АМО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72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top"/>
          </w:tcPr>
          <w:p>
            <w:pPr>
              <w:pStyle w:val="13"/>
              <w:ind w:left="0" w:leftChars="0" w:firstLine="0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5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5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0" w:type="dxa"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570" w:type="dxa"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АМО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5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5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0" w:type="dxa"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570" w:type="dxa"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№3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Анучинском  муниципальном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отдел, КНД и ЗП,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35,0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направленные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развития, правовой отдел,  КНД и ЗП,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 АМО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развития, правовой отдел,  КНД и ЗП,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4,0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0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развития, правовой отдел,  КНД и ЗП,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8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top"/>
          </w:tcPr>
          <w:p>
            <w:pPr>
              <w:spacing w:after="0" w:line="240" w:lineRule="auto"/>
              <w:ind w:left="0" w:leftChars="0" w:firstLine="719" w:firstLineChars="2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top"/>
          </w:tcPr>
          <w:p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11,0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11,0</w:t>
            </w:r>
          </w:p>
        </w:tc>
      </w:tr>
    </w:tbl>
    <w:p>
      <w:pPr>
        <w:shd w:val="clear" w:color="auto" w:fill="FFFFFF"/>
        <w:spacing w:before="108" w:after="108" w:line="240" w:lineRule="auto"/>
        <w:ind w:left="0" w:leftChars="0" w:firstLine="719" w:firstLineChars="257"/>
        <w:jc w:val="both"/>
        <w:outlineLvl w:val="0"/>
        <w:rPr>
          <w:color w:val="000000"/>
          <w:sz w:val="28"/>
          <w:szCs w:val="28"/>
        </w:rPr>
      </w:pPr>
      <w:r>
        <w:rPr>
          <w:rFonts w:hint="default" w:cs="Times New Roman"/>
          <w:kern w:val="36"/>
          <w:sz w:val="28"/>
          <w:szCs w:val="28"/>
          <w:lang w:val="en-US" w:eastAsia="ru-RU"/>
        </w:rPr>
        <w:t xml:space="preserve"> </w:t>
      </w:r>
    </w:p>
    <w:p>
      <w:pPr>
        <w:pStyle w:val="6"/>
        <w:numPr>
          <w:ilvl w:val="0"/>
          <w:numId w:val="0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leftChars="0" w:right="10" w:rightChars="0" w:firstLine="719" w:firstLineChars="2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kern w:val="36"/>
          <w:sz w:val="28"/>
          <w:szCs w:val="28"/>
          <w:lang w:val="en-US" w:eastAsia="ru-RU"/>
        </w:rPr>
        <w:t xml:space="preserve">2.4. </w:t>
      </w:r>
      <w:r>
        <w:rPr>
          <w:rFonts w:ascii="Times New Roman" w:hAnsi="Times New Roman" w:eastAsia="Times New Roman" w:cs="Times New Roman"/>
          <w:b w:val="0"/>
          <w:bCs w:val="0"/>
          <w:kern w:val="36"/>
          <w:sz w:val="28"/>
          <w:szCs w:val="28"/>
          <w:lang w:eastAsia="ru-RU"/>
        </w:rPr>
        <w:t>Паспорт подпрограммы</w:t>
      </w:r>
      <w:r>
        <w:rPr>
          <w:rFonts w:hint="default" w:cs="Times New Roman"/>
          <w:b w:val="0"/>
          <w:bCs w:val="0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экстремизма и терроризма в Анучинском муниципальном округе»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ind w:left="0" w:leftChars="0" w:firstLine="719" w:firstLineChars="2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212,8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г.- 30,4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г.- 30,4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г.- 30,4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г.- 30,4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г.- 30,4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г.- 30,4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2026 г. - 30,4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>
            <w:pPr>
              <w:ind w:left="0" w:leftChars="0" w:firstLine="0" w:firstLineChars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</w:tbl>
    <w:p>
      <w:pPr>
        <w:autoSpaceDE w:val="0"/>
        <w:autoSpaceDN w:val="0"/>
        <w:adjustRightInd w:val="0"/>
        <w:spacing w:after="0"/>
        <w:ind w:left="0" w:leftChars="0" w:firstLine="719" w:firstLineChars="2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numPr>
          <w:ilvl w:val="0"/>
          <w:numId w:val="0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leftChars="0" w:right="10" w:rightChars="0" w:firstLine="719" w:firstLineChars="2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kern w:val="36"/>
          <w:sz w:val="28"/>
          <w:szCs w:val="28"/>
          <w:lang w:val="en-US" w:eastAsia="ru-RU"/>
        </w:rPr>
        <w:t xml:space="preserve">2.5. </w:t>
      </w:r>
      <w:r>
        <w:rPr>
          <w:rFonts w:ascii="Times New Roman" w:hAnsi="Times New Roman" w:eastAsia="Times New Roman" w:cs="Times New Roman"/>
          <w:b w:val="0"/>
          <w:bCs w:val="0"/>
          <w:kern w:val="36"/>
          <w:sz w:val="28"/>
          <w:szCs w:val="28"/>
          <w:lang w:eastAsia="ru-RU"/>
        </w:rPr>
        <w:t>Паспорт подпрограммы</w:t>
      </w:r>
      <w:r>
        <w:rPr>
          <w:rFonts w:hint="default" w:ascii="Times New Roman" w:hAnsi="Times New Roman" w:cs="Times New Roman"/>
          <w:b w:val="0"/>
          <w:bCs w:val="0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правонарушений на территорииАнучинского  муниципального округа»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0" w:leftChars="0" w:firstLine="719" w:firstLineChars="2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г.- 15,0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г.- 15,0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г.- 15,0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г.- 15,0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г.- 15,0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г.- 15,0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г.- 15,0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г.- 15,0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pStyle w:val="6"/>
        <w:numPr>
          <w:ilvl w:val="0"/>
          <w:numId w:val="0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leftChars="0" w:right="10" w:rightChars="0" w:firstLine="719" w:firstLineChars="2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kern w:val="36"/>
          <w:sz w:val="28"/>
          <w:szCs w:val="28"/>
          <w:lang w:val="en-US" w:eastAsia="ru-RU"/>
        </w:rPr>
        <w:t xml:space="preserve">2.6. </w:t>
      </w:r>
      <w:r>
        <w:rPr>
          <w:rFonts w:ascii="Times New Roman" w:hAnsi="Times New Roman" w:eastAsia="Times New Roman" w:cs="Times New Roman"/>
          <w:b w:val="0"/>
          <w:bCs w:val="0"/>
          <w:kern w:val="36"/>
          <w:sz w:val="28"/>
          <w:szCs w:val="28"/>
          <w:lang w:eastAsia="ru-RU"/>
        </w:rPr>
        <w:t>Паспорт подпрограммы</w:t>
      </w:r>
      <w:r>
        <w:rPr>
          <w:rFonts w:hint="default" w:ascii="Times New Roman" w:hAnsi="Times New Roman" w:cs="Times New Roman"/>
          <w:b w:val="0"/>
          <w:bCs w:val="0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Профилактика наркомании, незаконного потребления наркотических средств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психотропных веществ 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округе»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ind w:left="0" w:leftChars="0" w:firstLine="719" w:firstLineChars="2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г.- 35,0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г.- 35,0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г.- 35,0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г.- 35,0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г.- 35,0 тыс.рублей;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val="ru-RU"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val="ru-RU" w:eastAsia="en-US"/>
        </w:rPr>
        <w:t>Анучинского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муниципального </w:t>
      </w:r>
      <w:r>
        <w:rPr>
          <w:rFonts w:eastAsiaTheme="minorHAnsi"/>
          <w:bCs/>
          <w:sz w:val="28"/>
          <w:szCs w:val="28"/>
          <w:lang w:eastAsia="en-US"/>
        </w:rPr>
        <w:t xml:space="preserve">округа (Бурдейной) </w:t>
      </w:r>
      <w:r>
        <w:rPr>
          <w:rFonts w:eastAsiaTheme="minorHAnsi"/>
          <w:bCs/>
          <w:sz w:val="28"/>
          <w:szCs w:val="28"/>
          <w:lang w:val="ru-RU"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>
      <w:pPr>
        <w:spacing w:line="360" w:lineRule="auto"/>
        <w:ind w:left="0" w:leftChars="0" w:firstLine="719" w:firstLineChars="2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A12762"/>
    <w:rsid w:val="00B3745D"/>
    <w:rsid w:val="00B82F27"/>
    <w:rsid w:val="00BA70F8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  <w:rsid w:val="07E11D43"/>
    <w:rsid w:val="150D0B0B"/>
    <w:rsid w:val="16614BA8"/>
    <w:rsid w:val="334F5D22"/>
    <w:rsid w:val="3C686D06"/>
    <w:rsid w:val="41C63D59"/>
    <w:rsid w:val="501011F6"/>
    <w:rsid w:val="5D013DC0"/>
    <w:rsid w:val="652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9"/>
    <w:semiHidden/>
    <w:qFormat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7">
    <w:name w:val="Table Grid"/>
    <w:basedOn w:val="3"/>
    <w:qFormat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6"/>
    <w:semiHidden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paragraph" w:styleId="10">
    <w:name w:val="List Paragraph"/>
    <w:basedOn w:val="1"/>
    <w:qFormat/>
    <w:uiPriority w:val="34"/>
    <w:pPr>
      <w:ind w:left="720"/>
    </w:p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656</Words>
  <Characters>3744</Characters>
  <Lines>31</Lines>
  <Paragraphs>8</Paragraphs>
  <TotalTime>0</TotalTime>
  <ScaleCrop>false</ScaleCrop>
  <LinksUpToDate>false</LinksUpToDate>
  <CharactersWithSpaces>4392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2020-12-03T00:11:00Z</dcterms:created>
  <dc:creator>VedernikovaOV</dc:creator>
  <cp:lastModifiedBy>VedernikovaOV</cp:lastModifiedBy>
  <cp:lastPrinted>2024-01-11T02:43:59Z</cp:lastPrinted>
  <dcterms:modified xsi:type="dcterms:W3CDTF">2024-01-11T04:29:54Z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78608D399F9A4AC09DCF5338420FEDFC_13</vt:lpwstr>
  </property>
</Properties>
</file>