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от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19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02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.20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24г.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                                                            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правоприменительной практики осуществления муниципального жилищного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>контроля на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 территории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>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>
      <w:pPr>
        <w:pStyle w:val="7"/>
        <w:widowControl/>
        <w:ind w:right="0"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8"/>
          <w:szCs w:val="28"/>
          <w:lang w:val="ru-RU" w:bidi="hi-IN"/>
        </w:rPr>
        <w:t>Организатор общественных обсуждений – Отдел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lang w:val="ru-RU" w:bidi="hi-IN"/>
        </w:rPr>
        <w:t xml:space="preserve"> финансового 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>контроля</w:t>
      </w:r>
      <w:r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rFonts w:hint="default"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Общественные обсуждения назначены распоряжением администрации Анучинского муниципального округа от </w:t>
      </w:r>
      <w:r>
        <w:rPr>
          <w:rFonts w:hint="default"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  <w:t>________________</w:t>
      </w:r>
    </w:p>
    <w:p>
      <w:pPr>
        <w:pStyle w:val="7"/>
        <w:widowControl/>
        <w:ind w:right="0" w:firstLine="709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Опубликование оповещения о начале общественных обсуждений на официальном сайте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begin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instrText xml:space="preserve"> HYPERLINK "https://анучинский.рф/administraciya/munitsipalnyy-kontrol/zhilishchnyy-kontrol/" </w:instrTex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separate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https://анучинский.рф/administraciya/munitsipalnyy-kontrol/zhilishchnyy-kontrol/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end"/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Материалы проекта размещены на сайте: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begin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instrText xml:space="preserve"> HYPERLINK "https://анучинский.рф/administraciya/munitsipalnyy-kontrol/zhilishchnyy-kontrol/" </w:instrTex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separate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https://анучинский.рф/administraciya/munitsipalnyy-kontrol/zhilishchnyy-kontrol/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end"/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Срок, в течение которого принимались предложения и замечания - до 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15.02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24г.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обсуждений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посредством официального сайта, адрес: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https://анучинский.рф/obrashcheniya/sozdat-obrashchenie/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в письменной форме по адресу: с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.Анучино ул.Лазо д.6 офис 20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ЗАКЛЮЧЕНИЕ</w:t>
      </w: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360" w:lineRule="auto"/>
        <w:ind w:firstLine="709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 результатах общественных обсуждений по проекту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Доклада об обобщении правоприменительной практики осуществления муниципального жилищного контроля на территории Анучинского муниципального округа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Реквизиты протокола общественных обсуждений – от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19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23г.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Количество участников общественных обсуждений -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>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,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которой проводятся общественные обсуждения: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иных участников общественных обсуждений: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Выводы по результатам общественных обсуждений: утвердить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 об обобщении правоприменительной практики осуществления муниципального жилищного контроля на территории Анучинского муниципального округа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.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15.02.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Доклада об обобщении правоприменительной практики осуществления муниципального жилищного контроля на территории Анучинского 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begin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instrText xml:space="preserve"> HYPERLINK "https://анучинский.рф/administraciya/munitsipalnyy-kontrol/zhilishchnyy-kontrol/" </w:instrTex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separate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https://анучинский.рф/administraciya/munitsipalnyy-kontrol/zhilishchnyy-kontrol/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end"/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21DF"/>
    <w:rsid w:val="01B55778"/>
    <w:rsid w:val="0BF521DF"/>
    <w:rsid w:val="30C01FE6"/>
    <w:rsid w:val="4BD73C22"/>
    <w:rsid w:val="5D156A5E"/>
    <w:rsid w:val="77D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2022-12-07T05:40:00Z</dcterms:created>
  <dc:creator>MehovskiyVV</dc:creator>
  <cp:lastModifiedBy>MehovskiyVV</cp:lastModifiedBy>
  <cp:lastPrinted>2022-12-09T00:49:00Z</cp:lastPrinted>
  <dcterms:modified xsi:type="dcterms:W3CDTF">2023-12-01T00:16:14Z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C3E328E241AB4ACB952D0DE85EDFF781</vt:lpwstr>
  </property>
</Properties>
</file>