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Arial" w:hAnsi="Arial" w:eastAsia="SimSun" w:cs="Arial"/>
          <w:kern w:val="0"/>
          <w:sz w:val="24"/>
          <w:szCs w:val="24"/>
          <w:highlight w:val="none"/>
          <w:lang w:val="en-US" w:eastAsia="zh-CN" w:bidi="ar"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5"/>
        <w:gridCol w:w="4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2500" w:type="pct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>УТВЕРЖДЕНО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Постановлением администрации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Анучинского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муниципального округа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от «     » 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_________2023 г.</w:t>
            </w:r>
          </w:p>
        </w:tc>
      </w:tr>
    </w:tbl>
    <w:p>
      <w:pPr>
        <w:jc w:val="right"/>
        <w:rPr>
          <w:highlight w:val="none"/>
        </w:rPr>
      </w:pPr>
    </w:p>
    <w:p>
      <w:pPr>
        <w:jc w:val="right"/>
        <w:rPr>
          <w:highlight w:val="none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ПОЛОЖЕНИЕ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об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у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правлени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жизнеобеспечения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дминистрации Анучинского муниципального округа</w:t>
      </w:r>
    </w:p>
    <w:p>
      <w:pPr>
        <w:spacing w:line="240" w:lineRule="auto"/>
        <w:ind w:left="0" w:leftChars="0" w:firstLine="602" w:firstLineChars="250"/>
        <w:jc w:val="center"/>
        <w:rPr>
          <w:rFonts w:hint="default" w:ascii="Times New Roman" w:hAnsi="Times New Roman" w:cs="Times New Roman"/>
          <w:b/>
          <w:bCs/>
          <w:color w:val="666666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after="120" w:line="240" w:lineRule="auto"/>
        <w:ind w:left="0" w:leftChars="0" w:right="-82" w:firstLine="602" w:firstLineChars="250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Общие положения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highlight w:val="none"/>
          <w:lang w:val="en-US" w:eastAsia="zh-CN" w:bidi="ar"/>
        </w:rPr>
      </w:pPr>
    </w:p>
    <w:p>
      <w:pPr>
        <w:numPr>
          <w:ilvl w:val="1"/>
          <w:numId w:val="1"/>
        </w:numPr>
        <w:spacing w:line="240" w:lineRule="auto"/>
        <w:ind w:left="0" w:leftChars="0" w:right="-82" w:righ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Управление жизнеобеспечения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администрации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Анучинского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</w:rPr>
        <w:t xml:space="preserve"> муниципального округа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(далее –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управление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) является структурным подразделением администрации Анучинского муниципального округа, осуществляющ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м в пределах своих полномочий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 отдельные организационные и исполнительно-распорядительные функции администрации Анучинского муниципального округа.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1.2.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>Управление формируется главой Анучинского муниципального округа.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1.3. В своей деятельности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>управление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Федерации, правовыми актами федеральных органов исполнительной власти, Уставом Приморского края, законами Приморского края, правовыми актами Губернатора Приморского края и Правительства Приморского края,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решениями Думы Анучинского муниципального округа, правовыми актами администрации Анучинского муниципального округа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а также настоящим Положением.</w:t>
      </w:r>
    </w:p>
    <w:p>
      <w:pPr>
        <w:numPr>
          <w:ilvl w:val="0"/>
          <w:numId w:val="0"/>
        </w:numPr>
        <w:spacing w:line="240" w:lineRule="auto"/>
        <w:ind w:left="0" w:leftChars="0" w:right="-82" w:righ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1.4.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Управление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края, иными государственными органами, организациями и гражданами.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1.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>5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. Место нахождения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 xml:space="preserve">управления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>Приморский край, Анучинский район, с. Анучино, ул. Лазо, 6, каб. 16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0" w:firstLineChars="0"/>
        <w:jc w:val="center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highlight w:val="none"/>
          <w:lang w:val="ru-RU" w:eastAsia="zh-CN" w:bidi="ar"/>
        </w:rPr>
        <w:t>Полномочия</w:t>
      </w:r>
    </w:p>
    <w:p>
      <w:pPr>
        <w:pStyle w:val="6"/>
        <w:numPr>
          <w:ilvl w:val="0"/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pStyle w:val="6"/>
        <w:numPr>
          <w:numId w:val="0"/>
        </w:num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Управление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осуществляет следующие полномочия:</w:t>
      </w:r>
    </w:p>
    <w:p>
      <w:pPr>
        <w:spacing w:line="240" w:lineRule="auto"/>
        <w:ind w:left="0" w:leftChars="0" w:right="-57" w:firstLine="602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2.1.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Обеспечивает: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.1.1.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Организацию электро-, газо-, тепло-, водоснабжения населения, водоотведения, снабжения населения топливом на территории округа в пределах полномочий, установленных законодательством Российской Федерации;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.1.2. Организацию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дорожной деятельности в отношении автомобильных дорог местного значения в границах муниципального округа;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.1.3. Создание условий для предоставления транспортных услуг населению и организация транспортного обслуживания населения в границах Анучинского муниципального округа;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.1.4.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Проведение мероприятий по охране окружающей среды;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.1.5. Организацию ритуальных услуг и содержание мест захоронения;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.1.6.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.1.7. Организацию благоустройства территории муниципального округа;</w:t>
      </w:r>
    </w:p>
    <w:p>
      <w:pPr>
        <w:pStyle w:val="6"/>
        <w:widowControl/>
        <w:numPr>
          <w:ilvl w:val="1"/>
          <w:numId w:val="2"/>
        </w:num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.1.8. О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существление деятельности по обращению с животными без владельцев, обитающими на территории округа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, в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ыполнение Закон</w:t>
      </w:r>
      <w:r>
        <w:rPr>
          <w:rStyle w:val="7"/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а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 xml:space="preserve"> Приморского края от 26.12.2019 № 692-КЗ «Об отдельных вопросах в области обращения с животными в Приморском крае»;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Реализ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ацию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вопрос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проведения капитального ремонта общего имущества в многоквартирных домах на территории Приморского края в соответствии с Законом Приморского края от 07.08.2013 № 227-КЗ «О системе капитального ремонта многоквартирных домов в Приморском крае».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 xml:space="preserve">2.1.10. Ведение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похозяйственн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ой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книг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и в соответствии с приказом Минсельхоза России от 27.09.2022 № 629 «Об утверждении формы и порядка ведения похозяйственных книг».</w:t>
      </w:r>
    </w:p>
    <w:p>
      <w:pPr>
        <w:spacing w:line="240" w:lineRule="auto"/>
        <w:ind w:left="0" w:leftChars="0" w:right="-57" w:firstLine="602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.2. Осуществляет: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.2.1. Мониторинг и анализ основных показателей, характеризующих состояние жилищно-коммунального хозяйства на территории округа;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.2.2. Размещение информации в АИС «Реформа ЖКХ» касающейся объектов жизнеобеспечения округа;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.2.3. 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нформационно-разъяснительную работу по вопросам своей деятельности;</w:t>
      </w:r>
    </w:p>
    <w:p>
      <w:pPr>
        <w:spacing w:line="240" w:lineRule="auto"/>
        <w:ind w:left="0" w:leftChars="0" w:right="-57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.2.4. Подготовку вопросов, входящим в компетенцию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, проекты решений Думы муниципального округа, проекты постановлений и распоряжений администрации муниципального округа, организует и обеспечивает выполнение принятых решений;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 Рассмотрение жалоб и обращений граждан и организаций по вопросам, входящим в компетенцию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в сроки, установленные действующим законодательством;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 Подготовку проведения оперативных совещаний, семинаров, конференций и других мероприятий по вопросам, входящим в компетенцию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Проведение работы по стабилизации и улучшению значений показателей эффективности деятельности органов местного самоуправления района;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Своевременное предоставление статистической отчетности по вопросам своей компетенции в вышестоящие органы Приморского края;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Размещение информации в ГИС ЖКХ в соответствии с Федеральным законом от 21.07.2014 № 209-ФЗ «О государственной информационной системе жилищно-коммунального хозяйства»;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10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роведения открытого конкурса по отбору управляющей организации для управления многоквартирным домом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11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Координацию плана проведения ремонтных работ объектов жилищно-коммунального хозяйства;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Подготовку документации для проведения аукционов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13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Подготовку проектно-сметной документации для выполнения ремонтных работ, капитального ремонта, реконструкции объектов жизнеобеспечения;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14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Подготовку пакета документов согласно порядку предоставления субсидий из краевого бюджета бюджету округа;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15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Организацию хранения, комплектования, учета архивных документов, образовавшихся в процессе деятельности отдела;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16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Проведение мониторинга технического состояния многоквартирных домов, в соответствии с постановлением администрации Приморского края от 20.08.2013 № 324-па «Об утверждении порядка проведения мониторинга технического состояния многоквартирных домов»;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17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Взаимодействие с территориальными органами Роспотребнадзора по выполнению мероприятий по улучшению качества питьевой воды из централизованных и децентрализованных источников водоснабжения;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18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Контроль проведения капитального ремонта общего имущества в многоквартирных домах на территории округа в соответствии с краевой программой «Капитального ремонта общего имущества в многоквартирных домах, расположенных на территории Приморского края, на 2014-2043 годы», утвержденной постановлением Администрации Приморского края от 31.12.2013г. №513-па;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19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Взаимодействие с Фондом капитального ремонта Приморского края по выполнению краевой программы капитального ремонта общего имущества в многоквартирных домах, о переносе сроков ремонта многоквартирных домов;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 Инвентаризацию территорий (общественных, домовых, территорий индивидуальной жилой застройки) для участия в государственной программе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Приморского края «Формирование современной городской среды муниципальных образований Приморского края» на 2020-2027 годы, утвержденной постановлением администрации Приморского края от 30.12.2019 № 944-па;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21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 Подготовку необходимой документации для реализации государственной программы Приморского края «Формирование современной городской среды муниципальных образований Приморского края»;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 Взаимодействие с Государственной жилищной инспекцией Приморского края по вопросам предоставления качественных коммунальных услуг населению;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23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 xml:space="preserve">. Взаимодействие с Министерствами, Департаментами, Агентствами Приморского края по вопросам деятельности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24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 Выполнение работ по освещению населенных пунктов Анучинского муниципального округа;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Расчеты стоимости региональных стандартов, расчеты средневзвешенных значений по коммунальным услугам;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Контроль за поставкой, расходом и остатками топлива на складах учреждений, организаций и предприятий округа;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27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Р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>азработк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у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 xml:space="preserve"> и выполнени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highlight w:val="none"/>
        </w:rPr>
        <w:t xml:space="preserve"> программы (плана) производственного контроля соблюдения санитарных правил, выполнения санитарно-противоэпидемических мероприятий и проведения лабораторных исследований на водозаборных сооружениях децентрализованного водоснабжения (шахтные колодцы) на территории Анучинского муниципального округа;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28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Работы по содержанию и техническому обслуживанию детских и спортивных площадок в соответствии с техническим регламентом Евразийского экономического союза «О безопасности оборудования для детских игровых площадок» (ТР ЕАЭС 042/2017);</w:t>
      </w:r>
    </w:p>
    <w:p>
      <w:pPr>
        <w:pStyle w:val="8"/>
        <w:spacing w:after="0"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29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 Контроль за содержанием объектов благоустройства и зеленых насаждений;</w:t>
      </w:r>
    </w:p>
    <w:p>
      <w:pPr>
        <w:spacing w:line="240" w:lineRule="auto"/>
        <w:ind w:left="0" w:leftChars="0" w:firstLine="602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.3. Разрабатывает: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.3.1. Нормативно — правовые акты в области полномочий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.3.2. Муниципальные программы по исполнению полномочий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</w:t>
      </w:r>
    </w:p>
    <w:p>
      <w:pPr>
        <w:spacing w:line="240" w:lineRule="auto"/>
        <w:ind w:left="0" w:leftChars="0" w:firstLine="602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.4.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Принимает у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част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ие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: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.4.1. В разработке, актуализации территориальной схемы обращения с отходами Приморского края;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.4.2. В координации резерва аварийно-восстановительного запаса материальных ресурсов на объектах жизнеобеспечения;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.4.3.  В приемке выполненных работ и исполнительной документации после ремонта, капитального ремонта, реконструкции объектов жизнеобеспечения.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2.4.4.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2.4.5.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предупреждении и ликвидации последствий чрезвычайных ситуаций в границах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2.4.6.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оказании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bookmarkStart w:id="0" w:name="dst855"/>
      <w:bookmarkEnd w:id="0"/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2.4.7.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организации и осуществлении мероприятий по работе с детьми и молодежью в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округе.</w:t>
      </w:r>
    </w:p>
    <w:p>
      <w:pPr>
        <w:shd w:val="clear" w:color="auto" w:fill="FFFFFF"/>
        <w:spacing w:line="240" w:lineRule="auto"/>
        <w:ind w:left="0" w:leftChars="0" w:firstLine="602" w:firstLineChars="250"/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2.5.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Оказыва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ет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 содействи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ru-RU"/>
        </w:rPr>
        <w:t>е: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2.5.1.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вопросах обеспечения первичных мер пожарной безопасности в границах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2.5.2.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вопросах организации мероприятий по охране окружающей среды в границах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bookmarkStart w:id="1" w:name="dst101380"/>
      <w:bookmarkEnd w:id="1"/>
      <w:bookmarkStart w:id="2" w:name="dst100190"/>
      <w:bookmarkEnd w:id="2"/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2.5.3.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утверждении правил благоустройства территории муниципального округа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2.5.4.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вопросах владения, пользования и распоряжения имуществом, находящимся в муниципальной собственности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2.5.5.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вопросах обеспечения проживающих в муниципальном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округе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и нуждающихся в жилых помещениях малоимущих граждан жилыми помещениями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2.5.6.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присвоении адресов объектам адресации, изменении, аннулировании адресов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bookmarkStart w:id="3" w:name="dst101384"/>
      <w:bookmarkEnd w:id="3"/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2.5.7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организации и осуществлении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; </w:t>
      </w:r>
      <w:bookmarkStart w:id="4" w:name="dst101385"/>
      <w:bookmarkEnd w:id="4"/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2.5.8.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создании, содержании и организации деятельности аварийно-спасательных служб и (или) аварийно-спасательных формирований на территории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bookmarkStart w:id="5" w:name="dst101387"/>
      <w:bookmarkEnd w:id="5"/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2.5.9.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округа;</w:t>
      </w:r>
    </w:p>
    <w:p>
      <w:pPr>
        <w:shd w:val="clear" w:color="auto" w:fill="FFFFFF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bookmarkStart w:id="6" w:name="dst100992"/>
      <w:bookmarkEnd w:id="6"/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>2.5.10. В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осуществлении мероприятий по обеспечению безопасности людей на водных объектах, охране их жизни и здоровья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и информировании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>
      <w:pPr>
        <w:pStyle w:val="5"/>
        <w:spacing w:before="240" w:after="240" w:line="240" w:lineRule="auto"/>
        <w:ind w:left="0" w:leftChars="0" w:firstLine="0" w:firstLineChars="0"/>
        <w:jc w:val="center"/>
        <w:outlineLvl w:val="1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 Организация деятельности</w:t>
      </w:r>
    </w:p>
    <w:p>
      <w:pPr>
        <w:widowControl w:val="0"/>
        <w:spacing w:line="240" w:lineRule="auto"/>
        <w:ind w:left="0" w:leftChars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.1.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Управление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возглавляет начальник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управления жизнеобеспечения администрации Анучинского муниципального округа (далее - начальник управления)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назначаемый на должность и освобождаемый от должности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 xml:space="preserve">главой Анучинского муниципального округа.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 xml:space="preserve">3.2.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Структура, штатная численность и Положение 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б управлении утве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рждаются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главой Анучинского муниципального округа по представлению начальника управления.</w:t>
      </w:r>
    </w:p>
    <w:p>
      <w:pPr>
        <w:widowControl w:val="0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3.3. Структура управления:</w:t>
      </w:r>
    </w:p>
    <w:p>
      <w:pPr>
        <w:widowControl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Отдел жилищно-коммунального хозяйства;</w:t>
      </w:r>
      <w:bookmarkStart w:id="7" w:name="_GoBack"/>
      <w:bookmarkEnd w:id="7"/>
    </w:p>
    <w:p>
      <w:pPr>
        <w:widowControl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Анучинский территориальный отдел;</w:t>
      </w:r>
    </w:p>
    <w:p>
      <w:pPr>
        <w:widowControl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Виноградовский территориальный отдел;</w:t>
      </w:r>
    </w:p>
    <w:p>
      <w:pPr>
        <w:widowControl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Гражданский территориальный отдел;</w:t>
      </w:r>
    </w:p>
    <w:p>
      <w:pPr>
        <w:widowControl w:val="0"/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Чернышевский территориальный отдел.</w:t>
      </w:r>
    </w:p>
    <w:p>
      <w:pPr>
        <w:widowControl w:val="0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.4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Начальник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.1. Осуществляет общее руководство деятельностью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.2. Распределяет обязанности между сотрудниками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 xml:space="preserve">3.4.3.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В установленном порядке утверждает положения о структурных подразделениях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и утверждает должностные регламенты сотрудников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;</w:t>
      </w:r>
    </w:p>
    <w:p>
      <w:pPr>
        <w:widowControl w:val="0"/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3.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4.4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ез доверенности представляет интересы в государственных органах, предприятиях, учреждениях, организациях, во взаимоотношениях с физическими лицами;</w:t>
      </w:r>
    </w:p>
    <w:p>
      <w:pPr>
        <w:spacing w:line="24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3.4.5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частвует в заседаниях и совещаниях, проводимых главой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Анучинского муниципального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округа и его заместителями, при обсуждении вопросов, входящих в компетенцию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управления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. Обеспечивает условия для профессионального развития сотрудников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. Принимает решение о поощрении сотрудников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и применении к ним мер дисциплинарной ответственности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firstLine="600" w:firstLineChars="2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4.8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. Права и обязанности сотрудников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определяются законодательством Российской Федерации, Приморского края и их должностными регламентами.</w:t>
      </w:r>
    </w:p>
    <w:p>
      <w:pPr>
        <w:widowControl w:val="0"/>
        <w:ind w:left="0" w:leftChars="0" w:firstLine="700" w:firstLineChars="250"/>
        <w:jc w:val="both"/>
        <w:rPr>
          <w:sz w:val="28"/>
          <w:szCs w:val="28"/>
          <w:highlight w:val="none"/>
        </w:rPr>
      </w:pPr>
    </w:p>
    <w:p>
      <w:pPr>
        <w:widowControl w:val="0"/>
        <w:numPr>
          <w:ilvl w:val="0"/>
          <w:numId w:val="3"/>
        </w:numPr>
        <w:ind w:left="0" w:leftChars="0" w:firstLine="600" w:firstLineChars="250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Реорганизация или ликвидация</w:t>
      </w:r>
    </w:p>
    <w:p>
      <w:pPr>
        <w:widowControl w:val="0"/>
        <w:numPr>
          <w:ilvl w:val="0"/>
          <w:numId w:val="0"/>
        </w:numPr>
        <w:ind w:leftChars="25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4.1. Реорганизация или ликвидация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управления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осуществляется на основании решения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ru-RU" w:eastAsia="zh-CN" w:bidi="ar"/>
        </w:rPr>
        <w:t>главы Анучинского муниципального округа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в порядке, установленном действующим законодательством.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A7C33F"/>
    <w:multiLevelType w:val="multilevel"/>
    <w:tmpl w:val="EEA7C3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Calibri" w:cs="Times New Roman"/>
        <w:b w:val="0"/>
        <w:i w:val="0"/>
        <w:strike w:val="0"/>
        <w:dstrike w:val="0"/>
        <w:color w:val="C9211E"/>
        <w:sz w:val="28"/>
        <w:szCs w:val="28"/>
        <w:highlight w:val="yellow"/>
        <w:lang w:val="en-US"/>
      </w:rPr>
    </w:lvl>
    <w:lvl w:ilvl="2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299A9206"/>
    <w:multiLevelType w:val="singleLevel"/>
    <w:tmpl w:val="299A9206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35B45"/>
    <w:rsid w:val="3AB802B6"/>
    <w:rsid w:val="61DA3777"/>
    <w:rsid w:val="76D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33CC"/>
      <w:u w:val="single"/>
    </w:rPr>
  </w:style>
  <w:style w:type="paragraph" w:customStyle="1" w:styleId="5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sz w:val="20"/>
      <w:szCs w:val="22"/>
    </w:rPr>
  </w:style>
  <w:style w:type="character" w:customStyle="1" w:styleId="7">
    <w:name w:val="ListLabel 2"/>
    <w:uiPriority w:val="0"/>
    <w:rPr>
      <w:rFonts w:ascii="Times New Roman" w:hAnsi="Times New Roman" w:cs="Times New Roman"/>
      <w:sz w:val="28"/>
      <w:szCs w:val="28"/>
    </w:rPr>
  </w:style>
  <w:style w:type="paragraph" w:customStyle="1" w:styleId="8">
    <w:name w:val="Основной текст с отступом 31"/>
    <w:basedOn w:val="1"/>
    <w:uiPriority w:val="0"/>
    <w:pPr>
      <w:spacing w:before="0" w:after="120"/>
      <w:ind w:left="283" w:right="0" w:firstLine="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2023-12-01T07:42:00Z</dcterms:created>
  <dc:creator>BurdeynayaOV</dc:creator>
  <cp:lastModifiedBy>BurdeynayaOV</cp:lastModifiedBy>
  <dcterms:modified xsi:type="dcterms:W3CDTF">2023-12-05T22:42:46Z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203F7B63648B4A7AB32BF1952F220604_12</vt:lpwstr>
  </property>
</Properties>
</file>