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7FC8BD41" w:rsidR="00AD2C31" w:rsidRDefault="006F46DE">
      <w:r>
        <w:rPr>
          <w:sz w:val="28"/>
          <w:szCs w:val="28"/>
        </w:rPr>
        <w:t>«</w:t>
      </w:r>
      <w:r w:rsidR="00CE347B">
        <w:rPr>
          <w:sz w:val="28"/>
          <w:szCs w:val="28"/>
        </w:rPr>
        <w:t xml:space="preserve"> 28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202</w:t>
      </w:r>
      <w:r w:rsidR="002900AD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с.Анучино                               № </w:t>
      </w:r>
      <w:r>
        <w:rPr>
          <w:sz w:val="28"/>
          <w:szCs w:val="28"/>
          <w:u w:val="single"/>
        </w:rPr>
        <w:t xml:space="preserve">  </w:t>
      </w:r>
      <w:r w:rsidR="00CE347B">
        <w:rPr>
          <w:sz w:val="28"/>
          <w:szCs w:val="28"/>
          <w:u w:val="single"/>
        </w:rPr>
        <w:t>1073</w:t>
      </w:r>
      <w:r>
        <w:rPr>
          <w:sz w:val="28"/>
          <w:szCs w:val="28"/>
          <w:u w:val="single"/>
        </w:rPr>
        <w:t xml:space="preserve"> 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>ПОСТАНОВЛЯЕТ:</w:t>
      </w:r>
    </w:p>
    <w:p w14:paraId="160C879B" w14:textId="06FA3D6C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>Анучинском муниципальном округе в рамках инициативного бюджетирования в Приморском крае по направлению «Твой проект» по  результатам открытого голосования на сайте Министерства финансов Приморского края ( далее проекты-победители).</w:t>
      </w:r>
    </w:p>
    <w:p w14:paraId="1E435EC1" w14:textId="24ED959A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«Спортивный комплекс «ЗОЖник»</w:t>
      </w:r>
      <w:r w:rsidR="00920F4B">
        <w:rPr>
          <w:sz w:val="28"/>
          <w:szCs w:val="28"/>
        </w:rPr>
        <w:t xml:space="preserve"> начальника отдела социального развития Ведерникову О.В. </w:t>
      </w:r>
    </w:p>
    <w:p w14:paraId="72530FD9" w14:textId="726973F4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«Детская площадка в с. Чернышевка Начальника отдела жизнеобеспечения Бурдейную О.В.</w:t>
      </w:r>
    </w:p>
    <w:p w14:paraId="79BB04EB" w14:textId="60EDBC5D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(Бурдейной</w:t>
      </w:r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постановление </w:t>
      </w:r>
      <w:r>
        <w:rPr>
          <w:sz w:val="28"/>
          <w:szCs w:val="28"/>
        </w:rPr>
        <w:t xml:space="preserve"> на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01C6622A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>округа Приморского края</w:t>
      </w:r>
      <w:r w:rsidR="00333CF3">
        <w:rPr>
          <w:sz w:val="28"/>
          <w:szCs w:val="28"/>
        </w:rPr>
        <w:t xml:space="preserve">  Дубовцева И.В.</w:t>
      </w:r>
      <w:r w:rsidR="006F46DE" w:rsidRPr="006F46DE">
        <w:rPr>
          <w:sz w:val="28"/>
          <w:szCs w:val="28"/>
        </w:rPr>
        <w:t>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48C73CE5" w14:textId="32B08CE5" w:rsidR="00AD2C31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Понуровский</w:t>
      </w:r>
    </w:p>
    <w:p w14:paraId="3A1A0A68" w14:textId="140E00C4" w:rsidR="002C0D4A" w:rsidRDefault="002C0D4A">
      <w:pPr>
        <w:jc w:val="both"/>
        <w:rPr>
          <w:sz w:val="28"/>
          <w:szCs w:val="28"/>
        </w:rPr>
      </w:pPr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6F4E5307" w14:textId="2AD4321A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2C0D4A">
      <w:pPr>
        <w:jc w:val="right"/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0729C291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E347B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  декабря </w:t>
      </w:r>
      <w:r>
        <w:rPr>
          <w:sz w:val="28"/>
          <w:szCs w:val="28"/>
        </w:rPr>
        <w:t>202</w:t>
      </w:r>
      <w:r w:rsidR="00CE347B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1073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4794" w:type="dxa"/>
        <w:tblLook w:val="04A0" w:firstRow="1" w:lastRow="0" w:firstColumn="1" w:lastColumn="0" w:noHBand="0" w:noVBand="1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FD3468" w:rsidRPr="00290F0A" w14:paraId="4370D570" w14:textId="77777777" w:rsidTr="00846392">
        <w:tc>
          <w:tcPr>
            <w:tcW w:w="650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3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707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90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1791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846392" w:rsidRPr="00846392" w14:paraId="67AAD42E" w14:textId="77777777" w:rsidTr="00846392">
        <w:tc>
          <w:tcPr>
            <w:tcW w:w="650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6392" w:rsidRPr="00846392" w14:paraId="25686273" w14:textId="77777777" w:rsidTr="00846392">
        <w:tc>
          <w:tcPr>
            <w:tcW w:w="650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1284C61A" w14:textId="23EDD805" w:rsidR="00846392" w:rsidRPr="00846392" w:rsidRDefault="00846392" w:rsidP="00846392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Спортивный комплекс «ЗОЖник»</w:t>
            </w:r>
          </w:p>
        </w:tc>
        <w:tc>
          <w:tcPr>
            <w:tcW w:w="2707" w:type="dxa"/>
          </w:tcPr>
          <w:p w14:paraId="0AB07DC9" w14:textId="336A41A2" w:rsidR="00846392" w:rsidRPr="000B731B" w:rsidRDefault="000B731B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территории, установка универсальной </w:t>
            </w:r>
            <w:r w:rsidR="00D51287">
              <w:rPr>
                <w:sz w:val="24"/>
                <w:szCs w:val="24"/>
              </w:rPr>
              <w:t xml:space="preserve">(минифутбол, волейбол, баскетбол) </w:t>
            </w:r>
            <w:r>
              <w:rPr>
                <w:sz w:val="24"/>
                <w:szCs w:val="24"/>
              </w:rPr>
              <w:t xml:space="preserve">спортивной </w:t>
            </w:r>
            <w:r>
              <w:rPr>
                <w:sz w:val="24"/>
                <w:szCs w:val="24"/>
              </w:rPr>
              <w:lastRenderedPageBreak/>
              <w:t>площад</w:t>
            </w:r>
            <w:r w:rsidR="00D51287">
              <w:rPr>
                <w:sz w:val="24"/>
                <w:szCs w:val="24"/>
              </w:rPr>
              <w:t>ки,  установка крытого уличного  спортивного комплекса, воркаута</w:t>
            </w:r>
            <w:r w:rsidR="00493C61">
              <w:rPr>
                <w:sz w:val="24"/>
                <w:szCs w:val="24"/>
              </w:rPr>
              <w:t>, благоустройство прилегающей территории -разбивка цветников и клумб.</w:t>
            </w:r>
          </w:p>
        </w:tc>
        <w:tc>
          <w:tcPr>
            <w:tcW w:w="1578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3030303,03</w:t>
            </w:r>
          </w:p>
        </w:tc>
        <w:tc>
          <w:tcPr>
            <w:tcW w:w="1690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058A4AE8" w14:textId="2393B248" w:rsidR="00846392" w:rsidRPr="00846392" w:rsidRDefault="006E7737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спортивного комплекса «ЗОЖник», согласно </w:t>
            </w:r>
            <w:r>
              <w:rPr>
                <w:sz w:val="24"/>
                <w:szCs w:val="24"/>
              </w:rPr>
              <w:lastRenderedPageBreak/>
              <w:t>заявки инициатора проекта</w:t>
            </w:r>
          </w:p>
        </w:tc>
      </w:tr>
      <w:tr w:rsidR="00186BCB" w:rsidRPr="00846392" w14:paraId="49CBD88C" w14:textId="77777777" w:rsidTr="00846392">
        <w:tc>
          <w:tcPr>
            <w:tcW w:w="650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5" w:type="dxa"/>
          </w:tcPr>
          <w:p w14:paraId="76850A03" w14:textId="77777777" w:rsidR="00186BCB" w:rsidRPr="00846392" w:rsidRDefault="00186BCB" w:rsidP="00186BCB">
            <w:pPr>
              <w:jc w:val="both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 xml:space="preserve">Детская площадка в </w:t>
            </w:r>
          </w:p>
          <w:p w14:paraId="386F8366" w14:textId="0E64B560" w:rsidR="00186BCB" w:rsidRPr="00846392" w:rsidRDefault="00186BCB" w:rsidP="00186BCB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с. Чернышевка</w:t>
            </w:r>
          </w:p>
        </w:tc>
        <w:tc>
          <w:tcPr>
            <w:tcW w:w="2707" w:type="dxa"/>
          </w:tcPr>
          <w:p w14:paraId="2910B121" w14:textId="7F57AAEB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с  покрытием, установка: большого игрового комплекса с горкой+винтовой горкой, с элементами лестниц, подвесных дорожек,</w:t>
            </w:r>
            <w:r w:rsidR="00AD40AB">
              <w:rPr>
                <w:sz w:val="24"/>
                <w:szCs w:val="24"/>
              </w:rPr>
              <w:t xml:space="preserve"> наличие урн, песочницы, скамейки для отдыха, отдельный агрегат для лазания, качели (карусель вращающаяся, классические качели, качели балансир), столик, доска для рисования, мишень для метания мяча, стол для тенниса, качалка и др.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90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146D8D21" w14:textId="023F94DD" w:rsidR="00186BCB" w:rsidRPr="00846392" w:rsidRDefault="006E773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в с. Чернышевка, согласно заявки инициатора проекта.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5266A0"/>
    <w:rsid w:val="00611EF5"/>
    <w:rsid w:val="006E3059"/>
    <w:rsid w:val="006E7737"/>
    <w:rsid w:val="006F46DE"/>
    <w:rsid w:val="00792279"/>
    <w:rsid w:val="008028B9"/>
    <w:rsid w:val="00846392"/>
    <w:rsid w:val="008F1678"/>
    <w:rsid w:val="00920F4B"/>
    <w:rsid w:val="00AD2C31"/>
    <w:rsid w:val="00AD40AB"/>
    <w:rsid w:val="00B91E8B"/>
    <w:rsid w:val="00CD073F"/>
    <w:rsid w:val="00CE347B"/>
    <w:rsid w:val="00D5128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2022-01-13T01:18:00Z</cp:lastPrinted>
  <dcterms:created xsi:type="dcterms:W3CDTF">2023-03-29T00:17:00Z</dcterms:created>
  <dcterms:modified xsi:type="dcterms:W3CDTF">2023-03-29T00:17:00Z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