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8"/>
        </w:rPr>
      </w:pPr>
      <w:r>
        <w:rPr/>
        <w:drawing>
          <wp:inline distT="0" distB="0" distL="0" distR="0">
            <wp:extent cx="638810" cy="904875"/>
            <wp:effectExtent l="0" t="0" r="0" b="0"/>
            <wp:docPr id="3" name="герб_02_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_02_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870" cy="36703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36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75.5pt;margin-top:-13.5pt;width:108pt;height:28.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>
      <w:pPr>
        <w:pStyle w:val="Normal"/>
        <w:shd w:val="clear" w:color="auto" w:fill="FFFFFF"/>
        <w:jc w:val="center"/>
        <w:rPr>
          <w:b/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>
      <w:pPr>
        <w:pStyle w:val="Normal"/>
        <w:shd w:val="clear" w:color="auto" w:fill="FFFFFF"/>
        <w:tabs>
          <w:tab w:val="clear" w:pos="709"/>
          <w:tab w:val="left" w:pos="5050" w:leader="none"/>
        </w:tabs>
        <w:jc w:val="center"/>
        <w:rPr>
          <w:b/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16"/>
          <w:szCs w:val="16"/>
        </w:rPr>
      </w:r>
    </w:p>
    <w:p>
      <w:pPr>
        <w:pStyle w:val="Normal"/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shd w:val="clear" w:color="auto" w:fill="FFFFFF"/>
        <w:jc w:val="center"/>
        <w:rPr>
          <w:color w:val="000000"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870" cy="367030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36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375.5pt;margin-top:-13.5pt;width:108pt;height:28.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</w:rPr>
        <w:t>П О С Т А Н О В Л Е Н И Е</w:t>
      </w:r>
    </w:p>
    <w:p>
      <w:pPr>
        <w:pStyle w:val="Normal"/>
        <w:shd w:val="clear" w:color="auto" w:fill="FFFFFF"/>
        <w:jc w:val="center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shd w:val="clear" w:color="auto" w:fill="FFFFFF"/>
        <w:jc w:val="center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shd w:val="clear" w:color="auto" w:fill="FFFFFF"/>
        <w:jc w:val="center"/>
        <w:rPr>
          <w:color w:val="000000"/>
          <w:sz w:val="16"/>
        </w:rPr>
      </w:pPr>
      <w:r>
        <w:rPr>
          <w:color w:val="000000"/>
          <w:sz w:val="16"/>
        </w:rPr>
      </w:r>
    </w:p>
    <w:tbl>
      <w:tblPr>
        <w:tblW w:w="927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2"/>
        <w:gridCol w:w="1933"/>
        <w:gridCol w:w="283"/>
        <w:gridCol w:w="4892"/>
        <w:gridCol w:w="561"/>
        <w:gridCol w:w="1309"/>
      </w:tblGrid>
      <w:tr>
        <w:trPr/>
        <w:tc>
          <w:tcPr>
            <w:tcW w:w="292" w:type="dxa"/>
            <w:tcBorders/>
            <w:shd w:fill="auto" w:val="clear"/>
          </w:tcPr>
          <w:p>
            <w:pPr>
              <w:pStyle w:val="Normal"/>
              <w:snapToGrid w:val="false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ind w:left="-82" w:right="-108" w:hanging="0"/>
              <w:jc w:val="center"/>
              <w:rPr>
                <w:u w:val="single"/>
              </w:rPr>
            </w:pPr>
            <w:r>
              <w:rPr>
                <w:u w:val="single"/>
              </w:rPr>
              <w:t>27.11.2019г.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napToGrid w:val="false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892" w:type="dxa"/>
            <w:tcBorders/>
            <w:shd w:fill="auto" w:val="clear"/>
          </w:tcPr>
          <w:p>
            <w:pPr>
              <w:pStyle w:val="Normal"/>
              <w:ind w:left="-675" w:hanging="0"/>
              <w:jc w:val="center"/>
              <w:rPr/>
            </w:pPr>
            <w:r>
              <w:rPr/>
              <w:t>с. Анучино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ind w:left="-120" w:right="-89" w:hanging="0"/>
              <w:jc w:val="center"/>
              <w:rPr>
                <w:position w:val="0"/>
                <w:sz w:val="24"/>
                <w:u w:val="single"/>
                <w:vertAlign w:val="baseline"/>
              </w:rPr>
            </w:pPr>
            <w:r>
              <w:rPr>
                <w:position w:val="0"/>
                <w:sz w:val="24"/>
                <w:u w:val="single"/>
                <w:vertAlign w:val="baseline"/>
              </w:rPr>
              <w:t>_____</w:t>
            </w:r>
            <w:r>
              <w:rPr>
                <w:position w:val="0"/>
                <w:sz w:val="24"/>
                <w:u w:val="single"/>
                <w:vertAlign w:val="baseline"/>
              </w:rPr>
              <w:t>667</w:t>
            </w:r>
            <w:r>
              <w:rPr>
                <w:position w:val="0"/>
                <w:sz w:val="24"/>
                <w:u w:val="single"/>
                <w:vertAlign w:val="baseline"/>
              </w:rPr>
              <w:t>__</w:t>
            </w:r>
          </w:p>
        </w:tc>
      </w:tr>
    </w:tbl>
    <w:p>
      <w:pPr>
        <w:pStyle w:val="Normal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right="34" w:hanging="0"/>
        <w:jc w:val="center"/>
        <w:rPr/>
      </w:pPr>
      <w:r>
        <w:rPr>
          <w:b/>
          <w:sz w:val="28"/>
          <w:szCs w:val="28"/>
        </w:rPr>
        <w:t>Положение об общественной экспертизе нормативно правовых актов администрации Анучинского муниципального района</w:t>
      </w:r>
    </w:p>
    <w:p>
      <w:pPr>
        <w:pStyle w:val="Normal"/>
        <w:ind w:left="5" w:firstLine="686"/>
        <w:jc w:val="both"/>
        <w:rPr>
          <w:b/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</w:r>
    </w:p>
    <w:p>
      <w:pPr>
        <w:pStyle w:val="Normal"/>
        <w:spacing w:lineRule="auto" w:line="360"/>
        <w:ind w:left="5" w:firstLine="686"/>
        <w:jc w:val="both"/>
        <w:rPr/>
      </w:pPr>
      <w:r>
        <w:rPr>
          <w:rFonts w:cs="Times New Roman"/>
          <w:color w:val="282828"/>
          <w:sz w:val="28"/>
          <w:szCs w:val="28"/>
        </w:rPr>
        <w:t>В соответствии с Федеральным законам от 06.10.2003г. №131-ФЗ «Об общих принципах организации местного самоуправления в Российской Федерации», Федеральным законом от 24.07.2007г. №209-ФЗ «Развитие малого и среднего предпринимательства в Российской Федерации»</w:t>
      </w:r>
      <w:r>
        <w:rPr>
          <w:rFonts w:cs="Times New Roman"/>
          <w:sz w:val="28"/>
          <w:szCs w:val="28"/>
        </w:rPr>
        <w:t>, Федеральным законом от 21.07.2014г. №212-ФЗ «Об основах общественного контроля в Российской Федерации», постановлением администрации Анучинского муниципального района от 01.03.2019г. №128-па «О Совете по инвестициям при главе администрации Анучинского муниципального района», руководствуясь Уставом Анучинского муниципального района, администрация Анучинского муниципального района</w:t>
      </w:r>
    </w:p>
    <w:p>
      <w:pPr>
        <w:pStyle w:val="Normal"/>
        <w:spacing w:lineRule="auto" w:line="360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firstLine="426"/>
        <w:jc w:val="both"/>
        <w:rPr/>
      </w:pPr>
      <w:r>
        <w:rPr>
          <w:sz w:val="28"/>
          <w:szCs w:val="28"/>
        </w:rPr>
        <w:t>Утвердить Положение об общественной экспертизе нормативных правовых актов администрации Анучинского муниципального района, регулирующих развитие малого и среднего предпринимательства на территории Анучинского муниципального района (приложение №1).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firstLine="283"/>
        <w:jc w:val="both"/>
        <w:rPr/>
      </w:pPr>
      <w:r>
        <w:rPr>
          <w:sz w:val="28"/>
          <w:szCs w:val="28"/>
        </w:rPr>
        <w:t xml:space="preserve">Общему отделу администрации Анучинского муниципального района  (Бурдейной С.В.) опубликовать настоящее постановление в средствах массовой информации, разместить, настоящее постановление на официальном сайте  администрации Анучинского муниципального района в информационно-телекоммуникационной сети «Интернет». </w:t>
      </w:r>
    </w:p>
    <w:p>
      <w:pPr>
        <w:pStyle w:val="Normal"/>
        <w:spacing w:lineRule="auto" w:line="360"/>
        <w:ind w:firstLine="142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Контроль за выполнением настоящего постановления оставляю за собой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Глава Анучинского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муниципального района                                                       С.А. Понуровский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sz w:val="28"/>
          <w:szCs w:val="28"/>
        </w:rPr>
        <w:t>Анучинского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27.11.</w:t>
      </w:r>
      <w:r>
        <w:rPr>
          <w:sz w:val="28"/>
          <w:szCs w:val="28"/>
        </w:rPr>
        <w:t>2019г. №</w:t>
      </w:r>
      <w:r>
        <w:rPr>
          <w:sz w:val="28"/>
          <w:szCs w:val="28"/>
        </w:rPr>
        <w:t>667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ПОЛОЖЕНИЕ</w:t>
      </w:r>
    </w:p>
    <w:p>
      <w:pPr>
        <w:pStyle w:val="Normal"/>
        <w:jc w:val="center"/>
        <w:rPr/>
      </w:pPr>
      <w:bookmarkStart w:id="1" w:name="__DdeLink__1115_515660016"/>
      <w:r>
        <w:rPr>
          <w:sz w:val="28"/>
          <w:szCs w:val="28"/>
        </w:rPr>
        <w:t>об общественной экспертизе нормативных правовых актов, регулирующих развитие малого и среднего предпринимательства на территории Анучинского муниципального района</w:t>
      </w:r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регулирует отношения, возникающие при проведении общественной экспертизы муниципальных нормативных правовых актов органов местного самоуправления Анучинского муниципального района в сфере предпринимательства (далее – проект нормативного правового акта) в целях формирования гражданского общества через совершенствование законодательства и развитие экономики Анучинского муниципального района на основе выявленных общественных интересов и гарантии их реализации в принимаемых решениях.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Понятия, используемые в настоящем Положении: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экспертиза проектов нормативных правовых актов, затрагивающих права и законные интересы неопределенного числа субъектов предпринимательства и рассчитанных на многократное применение (далее – общественная экспертиза) - система действий и решений, направленных на установление соответствия правам и законным интересам предпринимателей проектов нормативных правовых актов, принимаемых в сфере предпринимательства, в целях выработки наиболее эффективного механизма правового регулирования предпринимательской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в сфере предпринимательства – постановления администрации Анучинского муниципального района, решения Думы Анучинского муниципального района, проекты программ, вносимых на рассмотрение Думы Анучинского муниципального района, направленные на регулирование предпринимательской и иной экономической деятельности, затрагивающие права и законные интересы неопределенного числа субъектов предпринимательства и рассчитанные на неоднократное применение;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 в качестве участников общественной экспертизы - организации, образующие инфраструктуру поддержки малого и среднего предпринимательства, местные объединения предпринимателей, одним из главных направлений уставной деятельности которых является представление и защита интересов субъектов предпринимательской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Принципами проведения общественной экспертизы являются законность, открытость, объективность, эффективность, а также принцип равного доступа представителей общественности к участию в проведении общественной экспертизы.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проведения общественной экспертизы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Общественная экспертиза проводится в рамках работы  </w:t>
      </w:r>
      <w:r>
        <w:rPr>
          <w:color w:val="000000"/>
          <w:spacing w:val="-2"/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 инвестициям  </w:t>
      </w:r>
      <w:r>
        <w:rPr>
          <w:color w:val="000000"/>
          <w:spacing w:val="-2"/>
          <w:sz w:val="28"/>
          <w:szCs w:val="28"/>
        </w:rPr>
        <w:t xml:space="preserve"> при главе </w:t>
      </w:r>
      <w:r>
        <w:rPr>
          <w:color w:val="000000"/>
          <w:spacing w:val="-4"/>
          <w:sz w:val="28"/>
          <w:szCs w:val="28"/>
        </w:rPr>
        <w:t>администрации Анучинского муниципального района</w:t>
      </w:r>
      <w:r>
        <w:rPr>
          <w:sz w:val="28"/>
          <w:szCs w:val="28"/>
        </w:rPr>
        <w:t xml:space="preserve"> (далее – Совет).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Организационное и техническое сопровождение мероприятий по проведению общественной экспертизы осуществляется  </w:t>
      </w:r>
      <w:r>
        <w:rPr>
          <w:color w:val="000000"/>
          <w:sz w:val="28"/>
          <w:szCs w:val="28"/>
        </w:rPr>
        <w:t>финансово-экономическим управлением администрации Анучинского муниципального района (далее - ФЭУ)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2.3. В целях выполнения задач по организации работы Совета по проведению общественной экспертизы, ФЭУ: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ведет мониторинг действующих на территории Анучинского муниципального района общественных объединений предпринимателей и организаций, образующих инфраструктуру поддержки субъектов малого и среднего предпринимательства;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информационно-консультационное обеспечение представителей общественности по вопросам проведения общественной экспертизы;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ведет учет, изучает и обобщает предложения представителей общественности по обсуждаемым проектам нормативных правовых актов администрации Анучинского муниципального района, а также по поводу необходимости внесения изменений в уже действующие нормативные правовые акты в сфере малого и среднего предпринимательства;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мероприятия организационного характера, направленные на обеспечение эффективности проведения общественной экспертизы.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проведения общественной экспертизы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Разработанный проект нормативного правового акта размещается его исполнителем на официальном сайте администрации Анучинского муниципального района в сети «Интернет» и одновременно направляется в адрес Совета.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ФЭУ направляет проекты нормативных правовых актов в адрес местных объединений предпринимателей, которые в течение четырнадцати дней с момента получения предоставляют свои предложения в виде заключений. Заключения участниками общественной экспертизы предоставляются по установленной форме, согласно приложению №2 к настоящему Положению, на имя председателя Совета.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Члены Совета обсуждают поступившие замечания по проекту нормативного правового акта, проходящего общественную экспертизу.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3.4. Факультативными формами проведения общественной экспертизы являются обсуждение проектов нормативных правовых актов на заседаниях Совета, а также проведение «круглых столов» по наиболее важным из них с участием представителей общественности и специалистов с возложением обязанностей  по поддержке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3.5. ФЭУ  ведет постоянную работу по учету и систематизации полученных от членов Совета и представителей общественности предложений и замечаний, касающихся проектов нормативных правовых актов, а также предложений, направленных на совершенствование действующего законодательства в области малого и среднего предпринимательства.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3.6. Заключения Совета по проектам нормативных правовых актов, проходящих общественную экспертизу, носят рекомендательный характер и направляются председателем Совета исполнителям.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3.7. В заключении указываются: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а) предмет общественной экспертизы;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б) число поступивших от членов Совета и представителей общественности предложений и замечаний по проекту нормативного правового акта;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в) выводы и рекомендации для учета при принятии соответствующего нормативного правового акта.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3.8.Заключения Совета подлежат обязательному рассмотрению исполнителем. В случае если предложения Совета не учитываются в нормативном правовом акте, то исполнитель должен направить председателю Совета  мотивированное обоснование по результатам рассмотрения данного заключения.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3.9.Заключения Совета по проектам нормативных правовых актов, проходящих общественную экспертизу, размещаются на официальном сайте администрации Анучинского муниципального района в сети «Интернет» и опубликованы в средствах массовой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общественной экспертизе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регулирующих развитие малого и среднего предпринимательства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Анучинского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ЗАКЛЮЧЕНИЕ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экспертизы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1.Проект нормативного правового акта - ____________________________</w:t>
      </w:r>
      <w:r>
        <w:rPr>
          <w:sz w:val="28"/>
          <w:szCs w:val="28"/>
          <w:u w:val="single"/>
        </w:rPr>
        <w:t xml:space="preserve">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(статус, наименование)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2.Разработчик (автор) проекта НПА - _______________________________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(служба, должность и т. п.)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3.Дата представления проекта НПА на общественную экспертизу - ______</w:t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(дата размещения ПНПА на сайте администрации Анучинского муниципального района)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4.Участник общественной экспертизы - ____________________________</w:t>
      </w:r>
      <w:r>
        <w:rPr>
          <w:sz w:val="28"/>
          <w:szCs w:val="28"/>
          <w:u w:val="single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наименование, ОГРН)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5.Уполномоченное лицо участника общественной экспертизы - _________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6.Эксперты:_____________________________________________________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Норма проекта НПА: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u w:val="none"/>
        </w:rPr>
        <w:t xml:space="preserve">           </w:t>
      </w:r>
      <w:r>
        <w:rPr>
          <w:sz w:val="28"/>
          <w:szCs w:val="28"/>
          <w:u w:val="single"/>
        </w:rPr>
        <w:t xml:space="preserve">                          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Новая редакция нормы: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u w:val="single"/>
        </w:rPr>
        <w:t xml:space="preserve">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Обоснование изменений нормы: ___________________________________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«____»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201__г. ________________________________________________________________</w:t>
      </w:r>
    </w:p>
    <w:p>
      <w:pPr>
        <w:pStyle w:val="Normal"/>
        <w:jc w:val="center"/>
        <w:rPr/>
      </w:pPr>
      <w:r>
        <w:rPr>
          <w:sz w:val="20"/>
          <w:szCs w:val="20"/>
        </w:rPr>
        <w:t>(Наименование и подпись уполномоченного лица участника общественной экспертизы)</w:t>
      </w:r>
    </w:p>
    <w:sectPr>
      <w:type w:val="nextPage"/>
      <w:pgSz w:w="11906" w:h="16838"/>
      <w:pgMar w:left="18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450" w:hanging="450"/>
      </w:pPr>
      <w:rPr>
        <w:sz w:val="28"/>
        <w:spacing w:val="-4"/>
        <w:szCs w:val="28"/>
        <w:rFonts w:eastAsia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f46"/>
    <w:pPr>
      <w:widowControl/>
      <w:bidi w:val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z0" w:customStyle="1">
    <w:name w:val="WW8Num6z0"/>
    <w:qFormat/>
    <w:rsid w:val="00993f46"/>
    <w:rPr>
      <w:rFonts w:ascii="Times New Roman" w:hAnsi="Times New Roman" w:eastAsia="Times New Roman" w:cs="Times New Roman"/>
      <w:spacing w:val="-4"/>
      <w:sz w:val="28"/>
      <w:szCs w:val="28"/>
    </w:rPr>
  </w:style>
  <w:style w:type="character" w:styleId="WW8Num6z1" w:customStyle="1">
    <w:name w:val="WW8Num6z1"/>
    <w:qFormat/>
    <w:rsid w:val="00993f46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bd409d"/>
    <w:rPr>
      <w:rFonts w:ascii="Tahoma" w:hAnsi="Tahoma"/>
      <w:sz w:val="16"/>
      <w:szCs w:val="14"/>
    </w:rPr>
  </w:style>
  <w:style w:type="character" w:styleId="ListLabel1">
    <w:name w:val="ListLabel 1"/>
    <w:qFormat/>
    <w:rPr>
      <w:rFonts w:eastAsia="Times New Roman" w:cs="Times New Roman"/>
      <w:spacing w:val="-4"/>
      <w:sz w:val="28"/>
      <w:szCs w:val="28"/>
    </w:rPr>
  </w:style>
  <w:style w:type="character" w:styleId="ListLabel2">
    <w:name w:val="ListLabel 2"/>
    <w:qFormat/>
    <w:rPr>
      <w:rFonts w:eastAsia="Times New Roman" w:cs="Times New Roman"/>
      <w:spacing w:val="-4"/>
      <w:sz w:val="28"/>
      <w:szCs w:val="28"/>
    </w:rPr>
  </w:style>
  <w:style w:type="character" w:styleId="ListLabel3">
    <w:name w:val="ListLabel 3"/>
    <w:qFormat/>
    <w:rPr>
      <w:rFonts w:eastAsia="Times New Roman" w:cs="Times New Roman"/>
      <w:spacing w:val="-4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993f46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Style16">
    <w:name w:val="Body Text"/>
    <w:basedOn w:val="Normal"/>
    <w:rsid w:val="00993f46"/>
    <w:pPr>
      <w:spacing w:lineRule="auto" w:line="276" w:before="0" w:after="140"/>
    </w:pPr>
    <w:rPr/>
  </w:style>
  <w:style w:type="paragraph" w:styleId="Style17">
    <w:name w:val="List"/>
    <w:basedOn w:val="Style16"/>
    <w:rsid w:val="00993f4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qFormat/>
    <w:rsid w:val="00993f46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993f46"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d409d"/>
    <w:pPr/>
    <w:rPr>
      <w:rFonts w:ascii="Tahoma" w:hAnsi="Tahoma"/>
      <w:sz w:val="16"/>
      <w:szCs w:val="1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993f4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LibreOffice/6.1.2.1$Windows_x86 LibreOffice_project/65905a128db06ba48db947242809d14d3f9a93fe</Application>
  <Pages>8</Pages>
  <Words>956</Words>
  <Characters>8861</Characters>
  <CharactersWithSpaces>10766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2019-11-25T04:50:00Z</dcterms:created>
  <dc:creator>Галина П. Бондарь</dc:creator>
  <dc:description/>
  <dc:language>ru-RU</dc:language>
  <cp:lastModifiedBy/>
  <cp:lastPrinted>2019-11-27T11:32:49Z</cp:lastPrinted>
  <dcterms:modified xsi:type="dcterms:W3CDTF">2019-11-28T09:51:55Z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