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7390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46697" wp14:editId="4BA0779C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D3500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3072B19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050D3FB8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68521CF4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2DB5CD" w14:textId="77777777" w:rsidR="005C1096" w:rsidRDefault="00A37730">
      <w:pPr>
        <w:ind w:firstLineChars="1100" w:firstLine="3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 w14:paraId="41A4484C" w14:textId="77777777" w:rsidR="005C1096" w:rsidRDefault="005C1096">
      <w:pPr>
        <w:jc w:val="center"/>
        <w:rPr>
          <w:sz w:val="28"/>
          <w:szCs w:val="28"/>
        </w:rPr>
      </w:pPr>
    </w:p>
    <w:p w14:paraId="567668BF" w14:textId="2A64E6DE" w:rsidR="005C1096" w:rsidRPr="00A37730" w:rsidRDefault="00A37730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11.01.2024</w:t>
      </w:r>
      <w:r>
        <w:rPr>
          <w:sz w:val="28"/>
          <w:szCs w:val="28"/>
        </w:rPr>
        <w:t xml:space="preserve">               </w:t>
      </w:r>
      <w:r w:rsidRPr="00A377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Анучино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</w:p>
    <w:p w14:paraId="179D38C3" w14:textId="77777777" w:rsidR="005C1096" w:rsidRDefault="005C1096">
      <w:pPr>
        <w:jc w:val="center"/>
        <w:rPr>
          <w:sz w:val="28"/>
          <w:szCs w:val="28"/>
        </w:rPr>
      </w:pPr>
    </w:p>
    <w:p w14:paraId="05974E5C" w14:textId="77777777" w:rsidR="005C1096" w:rsidRDefault="00A377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Анучинском</w:t>
      </w:r>
      <w:proofErr w:type="spellEnd"/>
      <w:r>
        <w:rPr>
          <w:b/>
          <w:bCs/>
          <w:sz w:val="28"/>
          <w:szCs w:val="28"/>
        </w:rPr>
        <w:t xml:space="preserve">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</w:t>
      </w:r>
      <w:r>
        <w:rPr>
          <w:b/>
          <w:sz w:val="28"/>
          <w:szCs w:val="28"/>
        </w:rPr>
        <w:t>ьного района от 30.09.2019 г №555</w:t>
      </w:r>
    </w:p>
    <w:p w14:paraId="18A5D7C5" w14:textId="77777777" w:rsidR="005C1096" w:rsidRDefault="005C1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536AD2" w14:textId="77777777" w:rsidR="005C1096" w:rsidRDefault="005C1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5C1096" w14:paraId="0626B589" w14:textId="77777777">
        <w:trPr>
          <w:trHeight w:val="825"/>
        </w:trPr>
        <w:tc>
          <w:tcPr>
            <w:tcW w:w="9639" w:type="dxa"/>
          </w:tcPr>
          <w:p w14:paraId="7435D45A" w14:textId="77777777" w:rsidR="005C1096" w:rsidRDefault="00A37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Chars="2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</w:t>
            </w:r>
            <w:r>
              <w:rPr>
                <w:sz w:val="28"/>
                <w:szCs w:val="28"/>
              </w:rPr>
              <w:t xml:space="preserve">е муниципальных программ, реализации и оценки эффективности в </w:t>
            </w:r>
            <w:proofErr w:type="spellStart"/>
            <w:r>
              <w:rPr>
                <w:sz w:val="28"/>
                <w:szCs w:val="28"/>
              </w:rPr>
              <w:t>Анучинском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 xml:space="preserve">округа Приморского края, </w:t>
            </w:r>
            <w:r>
              <w:rPr>
                <w:sz w:val="28"/>
                <w:szCs w:val="28"/>
              </w:rPr>
              <w:t>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0206746" w14:textId="77777777" w:rsidR="005C1096" w:rsidRDefault="005C1096">
            <w:pPr>
              <w:spacing w:line="360" w:lineRule="auto"/>
              <w:ind w:firstLineChars="257" w:firstLine="720"/>
              <w:rPr>
                <w:sz w:val="28"/>
                <w:szCs w:val="28"/>
              </w:rPr>
            </w:pPr>
          </w:p>
        </w:tc>
      </w:tr>
    </w:tbl>
    <w:p w14:paraId="160EF8BA" w14:textId="77777777" w:rsidR="005C1096" w:rsidRDefault="005C1096">
      <w:pPr>
        <w:spacing w:line="360" w:lineRule="auto"/>
        <w:ind w:firstLineChars="257" w:firstLine="720"/>
        <w:jc w:val="both"/>
        <w:rPr>
          <w:sz w:val="28"/>
          <w:szCs w:val="28"/>
        </w:rPr>
      </w:pPr>
    </w:p>
    <w:p w14:paraId="5768B4A3" w14:textId="77777777" w:rsidR="005C1096" w:rsidRDefault="00A37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6E6AC7A" w14:textId="77777777" w:rsidR="005C1096" w:rsidRDefault="005C1096">
      <w:pPr>
        <w:spacing w:line="360" w:lineRule="auto"/>
        <w:ind w:firstLineChars="257" w:firstLine="720"/>
        <w:jc w:val="both"/>
        <w:rPr>
          <w:sz w:val="28"/>
          <w:szCs w:val="28"/>
        </w:rPr>
      </w:pPr>
    </w:p>
    <w:p w14:paraId="3A73A74D" w14:textId="77777777" w:rsidR="005C1096" w:rsidRDefault="00A37730">
      <w:pPr>
        <w:autoSpaceDE w:val="0"/>
        <w:spacing w:line="360" w:lineRule="auto"/>
        <w:ind w:right="-6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 в постановление администрации Анучинского муниципального района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««Комплексные меры по противодействию экстремизму, терроризму, правонарушениям и наркомании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 на 2020-2024 годы»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далее Постановление)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1E60CCB" w14:textId="77777777" w:rsidR="005C1096" w:rsidRDefault="00A37730">
      <w:pPr>
        <w:autoSpaceDE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тексту Постановления слова «…202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годы»  заменить  на слова « …202</w:t>
      </w:r>
      <w:r>
        <w:rPr>
          <w:sz w:val="28"/>
          <w:szCs w:val="28"/>
        </w:rPr>
        <w:t>6</w:t>
      </w:r>
      <w:r>
        <w:rPr>
          <w:sz w:val="28"/>
          <w:szCs w:val="28"/>
        </w:rPr>
        <w:t>годы».</w:t>
      </w:r>
    </w:p>
    <w:p w14:paraId="718576B9" w14:textId="77777777" w:rsidR="005C1096" w:rsidRDefault="00A37730">
      <w:pPr>
        <w:autoSpaceDE w:val="0"/>
        <w:spacing w:line="360" w:lineRule="auto"/>
        <w:ind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>экстремизму, терроризму, правонарушениям и наркомании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Анучинском</w:t>
      </w:r>
      <w:proofErr w:type="spellEnd"/>
      <w:r>
        <w:rPr>
          <w:bCs/>
          <w:sz w:val="28"/>
          <w:szCs w:val="28"/>
        </w:rPr>
        <w:t xml:space="preserve">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 w14:paraId="28289324" w14:textId="77777777" w:rsidR="005C1096" w:rsidRDefault="00A37730">
      <w:pPr>
        <w:pStyle w:val="aa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и   по тексту П</w:t>
      </w:r>
      <w:r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слова «…202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годы»  заменить  на слова « …202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годы»</w:t>
      </w:r>
    </w:p>
    <w:p w14:paraId="37A1A744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2370F33D" w14:textId="77777777">
        <w:tc>
          <w:tcPr>
            <w:tcW w:w="4503" w:type="dxa"/>
          </w:tcPr>
          <w:p w14:paraId="4F9AB7B7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7D86C36A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544,6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т.ч. по годам:</w:t>
            </w:r>
          </w:p>
          <w:p w14:paraId="3603B4D7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г.- 62,2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73D7558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BCB979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г.- 80,4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C8482C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29917B5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г.- 80,4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62F3C5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г.- 80,4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4D29C6C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г. - 80,4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56BC2BA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0BE320E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</w:t>
            </w:r>
            <w:r>
              <w:rPr>
                <w:sz w:val="28"/>
                <w:szCs w:val="28"/>
              </w:rPr>
              <w:t>ципального округа</w:t>
            </w:r>
          </w:p>
        </w:tc>
      </w:tr>
    </w:tbl>
    <w:p w14:paraId="3F303809" w14:textId="77777777" w:rsidR="005C1096" w:rsidRDefault="00A37730">
      <w:pPr>
        <w:pStyle w:val="aa"/>
        <w:shd w:val="clear" w:color="auto" w:fill="FFFFFF"/>
        <w:spacing w:before="108" w:after="108"/>
        <w:ind w:left="0" w:firstLineChars="257" w:firstLine="720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>Паспорт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 w14:paraId="37E2990C" w14:textId="77777777" w:rsidR="005C1096" w:rsidRDefault="00A37730">
      <w:pPr>
        <w:shd w:val="clear" w:color="auto" w:fill="FFFFFF"/>
        <w:ind w:firstLineChars="2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9"/>
        <w:tblW w:w="10270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085"/>
        <w:gridCol w:w="1080"/>
        <w:gridCol w:w="1098"/>
        <w:gridCol w:w="338"/>
        <w:gridCol w:w="392"/>
        <w:gridCol w:w="404"/>
        <w:gridCol w:w="240"/>
        <w:gridCol w:w="591"/>
        <w:gridCol w:w="585"/>
        <w:gridCol w:w="630"/>
        <w:gridCol w:w="585"/>
        <w:gridCol w:w="630"/>
        <w:gridCol w:w="570"/>
        <w:gridCol w:w="570"/>
      </w:tblGrid>
      <w:tr w:rsidR="005C1096" w14:paraId="726F7ECD" w14:textId="77777777">
        <w:trPr>
          <w:jc w:val="center"/>
        </w:trPr>
        <w:tc>
          <w:tcPr>
            <w:tcW w:w="472" w:type="dxa"/>
            <w:vMerge w:val="restart"/>
          </w:tcPr>
          <w:p w14:paraId="0B162ACB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85" w:type="dxa"/>
            <w:vMerge w:val="restart"/>
          </w:tcPr>
          <w:p w14:paraId="6C74618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0" w:type="dxa"/>
            <w:vMerge w:val="restart"/>
          </w:tcPr>
          <w:p w14:paraId="47CE18D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>
              <w:rPr>
                <w:color w:val="000000"/>
                <w:sz w:val="20"/>
                <w:szCs w:val="20"/>
              </w:rPr>
              <w:t>соисполнитель/ГРБС</w:t>
            </w:r>
          </w:p>
        </w:tc>
        <w:tc>
          <w:tcPr>
            <w:tcW w:w="1098" w:type="dxa"/>
            <w:vMerge w:val="restart"/>
          </w:tcPr>
          <w:p w14:paraId="489C9F57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374" w:type="dxa"/>
            <w:gridSpan w:val="4"/>
          </w:tcPr>
          <w:p w14:paraId="3B99AA44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61" w:type="dxa"/>
            <w:gridSpan w:val="7"/>
          </w:tcPr>
          <w:p w14:paraId="1125CE7E" w14:textId="77777777" w:rsidR="005C1096" w:rsidRDefault="00A37730">
            <w:pPr>
              <w:ind w:firstLineChars="257" w:firstLine="5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5C1096" w14:paraId="4D997E23" w14:textId="77777777">
        <w:trPr>
          <w:trHeight w:val="90"/>
          <w:jc w:val="center"/>
        </w:trPr>
        <w:tc>
          <w:tcPr>
            <w:tcW w:w="472" w:type="dxa"/>
            <w:vMerge/>
          </w:tcPr>
          <w:p w14:paraId="3A6086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2407F7AA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0B4F8A4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19B39B26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1A53C60B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 w14:paraId="1AE1412E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04" w:type="dxa"/>
          </w:tcPr>
          <w:p w14:paraId="4E8E497E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0" w:type="dxa"/>
          </w:tcPr>
          <w:p w14:paraId="43A64110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1" w:type="dxa"/>
            <w:textDirection w:val="btLr"/>
            <w:vAlign w:val="center"/>
          </w:tcPr>
          <w:p w14:paraId="5C1AD7EE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5" w:type="dxa"/>
            <w:textDirection w:val="btLr"/>
            <w:vAlign w:val="center"/>
          </w:tcPr>
          <w:p w14:paraId="0CDAAC7E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0" w:type="dxa"/>
            <w:textDirection w:val="btLr"/>
            <w:vAlign w:val="center"/>
          </w:tcPr>
          <w:p w14:paraId="3C1807E2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5" w:type="dxa"/>
            <w:textDirection w:val="btLr"/>
            <w:vAlign w:val="center"/>
          </w:tcPr>
          <w:p w14:paraId="00F34617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0" w:type="dxa"/>
            <w:textDirection w:val="btLr"/>
            <w:vAlign w:val="center"/>
          </w:tcPr>
          <w:p w14:paraId="0FD4A3CB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textDirection w:val="btLr"/>
            <w:vAlign w:val="center"/>
          </w:tcPr>
          <w:p w14:paraId="6B9C6881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extDirection w:val="btLr"/>
            <w:vAlign w:val="center"/>
          </w:tcPr>
          <w:p w14:paraId="6A620653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5C1096" w14:paraId="2AA044C0" w14:textId="77777777">
        <w:trPr>
          <w:jc w:val="center"/>
        </w:trPr>
        <w:tc>
          <w:tcPr>
            <w:tcW w:w="472" w:type="dxa"/>
            <w:vMerge w:val="restart"/>
          </w:tcPr>
          <w:p w14:paraId="1488D25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5FFA3456" w14:textId="77777777" w:rsidR="005C1096" w:rsidRDefault="00A37730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1CB6B431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 xml:space="preserve">экстремизму, терроризму, </w:t>
            </w:r>
            <w:r>
              <w:rPr>
                <w:b/>
                <w:sz w:val="20"/>
                <w:szCs w:val="20"/>
              </w:rPr>
              <w:t>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 w14:paraId="282B7353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Анучинском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муниципальном округе </w:t>
            </w:r>
          </w:p>
          <w:p w14:paraId="25F4017C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 w14:paraId="1CE9ACB8" w14:textId="77777777" w:rsidR="005C1096" w:rsidRDefault="005C10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4B93CAF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социального развития администрации АМО</w:t>
            </w:r>
          </w:p>
        </w:tc>
        <w:tc>
          <w:tcPr>
            <w:tcW w:w="1098" w:type="dxa"/>
          </w:tcPr>
          <w:p w14:paraId="7FDD269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621E3AA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CBE1E8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4A5B11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387212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320FF40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 w14:paraId="29111A4A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 w14:paraId="102A64C0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 w14:paraId="4567C163" w14:textId="77777777" w:rsidR="005C1096" w:rsidRDefault="00A37730"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3872D02D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27A926B1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1F3E0DB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5C1096" w14:paraId="6DBDF875" w14:textId="77777777">
        <w:trPr>
          <w:jc w:val="center"/>
        </w:trPr>
        <w:tc>
          <w:tcPr>
            <w:tcW w:w="472" w:type="dxa"/>
            <w:vMerge/>
          </w:tcPr>
          <w:p w14:paraId="617A407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2A089A82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71C2F51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4FF1D7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38FDC6E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AC396A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C777A9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EA7628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67C97B0" w14:textId="77777777" w:rsidR="005C1096" w:rsidRDefault="00A37730"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 w14:paraId="74D3F3F4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 w14:paraId="0242E09D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 w14:paraId="5AAF9C02" w14:textId="77777777" w:rsidR="005C1096" w:rsidRDefault="00A37730"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1E00E2AE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2304F18C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0FB3548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5C1096" w14:paraId="4211FE56" w14:textId="77777777">
        <w:trPr>
          <w:jc w:val="center"/>
        </w:trPr>
        <w:tc>
          <w:tcPr>
            <w:tcW w:w="472" w:type="dxa"/>
            <w:vMerge w:val="restart"/>
          </w:tcPr>
          <w:p w14:paraId="2BF19CA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6F13D87B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Анучинском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округе»</w:t>
            </w:r>
          </w:p>
          <w:p w14:paraId="6764E5C3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24CF4614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3EC037BF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6F2762F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550D847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2A07D9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1FDC21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F0C092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BC92138" w14:textId="77777777" w:rsidR="005C1096" w:rsidRDefault="00A3773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 w14:paraId="1E0C56AF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 w14:paraId="5A663C6F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 w14:paraId="1F294565" w14:textId="77777777" w:rsidR="005C1096" w:rsidRDefault="00A37730"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0D57E9B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00ADE9E6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2AF2DCE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5C1096" w14:paraId="455CF88A" w14:textId="77777777">
        <w:trPr>
          <w:jc w:val="center"/>
        </w:trPr>
        <w:tc>
          <w:tcPr>
            <w:tcW w:w="472" w:type="dxa"/>
            <w:vMerge/>
          </w:tcPr>
          <w:p w14:paraId="4756FBD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6F08AAD1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A8DFED9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476AC7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07C31EB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37DD8B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DEF27C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AD6454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92C86FD" w14:textId="77777777" w:rsidR="005C1096" w:rsidRDefault="00A3773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 w14:paraId="1C437BB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 w14:paraId="63EDF33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 w14:paraId="3A98A015" w14:textId="77777777" w:rsidR="005C1096" w:rsidRDefault="00A37730"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0C421F52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5FB85086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3CF6065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5C1096" w14:paraId="67A550E3" w14:textId="77777777">
        <w:trPr>
          <w:trHeight w:val="90"/>
          <w:jc w:val="center"/>
        </w:trPr>
        <w:tc>
          <w:tcPr>
            <w:tcW w:w="472" w:type="dxa"/>
            <w:vMerge w:val="restart"/>
          </w:tcPr>
          <w:p w14:paraId="1AB798E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1072B14A" w14:textId="77777777" w:rsidR="005C1096" w:rsidRDefault="00A37730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 w14:paraId="1B081AA8" w14:textId="77777777" w:rsidR="005C1096" w:rsidRDefault="00A3773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14:paraId="20F37068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080" w:type="dxa"/>
            <w:vMerge w:val="restart"/>
          </w:tcPr>
          <w:p w14:paraId="362C034C" w14:textId="77777777" w:rsidR="005C1096" w:rsidRDefault="00A3773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 w14:paraId="51875951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 w14:paraId="507A690B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1CA51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7CF5170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181349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4CAAB7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E20D9A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2D4BE62B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53C9C00F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7DD9E161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2AA82F97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1367652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7165DFAF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6C4329BE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1096" w14:paraId="4A63F791" w14:textId="77777777">
        <w:trPr>
          <w:jc w:val="center"/>
        </w:trPr>
        <w:tc>
          <w:tcPr>
            <w:tcW w:w="472" w:type="dxa"/>
            <w:vMerge/>
          </w:tcPr>
          <w:p w14:paraId="4C1CFFD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0F8F99C0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30A0889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F6229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37991AB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7A3035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3C369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AA0541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3C77C9C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17041643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2D6B48D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51D93F24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6583194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5072CB03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5EE3208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1096" w14:paraId="35A201C7" w14:textId="77777777">
        <w:trPr>
          <w:trHeight w:val="704"/>
          <w:jc w:val="center"/>
        </w:trPr>
        <w:tc>
          <w:tcPr>
            <w:tcW w:w="472" w:type="dxa"/>
            <w:vMerge w:val="restart"/>
          </w:tcPr>
          <w:p w14:paraId="781D60A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1A128F0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080" w:type="dxa"/>
            <w:vMerge w:val="restart"/>
          </w:tcPr>
          <w:p w14:paraId="5505288D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41F1877C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69E766D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6D61ABF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70FC6E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34D619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1AA6562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A4487CF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321B0863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521D7EED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 w14:paraId="509B3671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6D847FEA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0F2C1F4F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2AB9D15F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C1096" w14:paraId="1E0A1D5F" w14:textId="77777777">
        <w:trPr>
          <w:jc w:val="center"/>
        </w:trPr>
        <w:tc>
          <w:tcPr>
            <w:tcW w:w="472" w:type="dxa"/>
            <w:vMerge/>
          </w:tcPr>
          <w:p w14:paraId="232B081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44E1F0D6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AE1081A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600966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2F97AA4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86CB8C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DFA0A6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C6DF64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18DA1A3" w14:textId="77777777" w:rsidR="005C1096" w:rsidRDefault="00A37730">
            <w:r>
              <w:t>0</w:t>
            </w:r>
          </w:p>
        </w:tc>
        <w:tc>
          <w:tcPr>
            <w:tcW w:w="585" w:type="dxa"/>
          </w:tcPr>
          <w:p w14:paraId="417ECBB2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38595191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 w14:paraId="559B02B6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36C3F48E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1689CFC5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3FF4666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C1096" w14:paraId="7A2628BA" w14:textId="77777777">
        <w:trPr>
          <w:jc w:val="center"/>
        </w:trPr>
        <w:tc>
          <w:tcPr>
            <w:tcW w:w="472" w:type="dxa"/>
            <w:vMerge w:val="restart"/>
          </w:tcPr>
          <w:p w14:paraId="05157AB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2411709C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080" w:type="dxa"/>
            <w:vMerge w:val="restart"/>
          </w:tcPr>
          <w:p w14:paraId="4C19D801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соцразвития, ГО и ЧС, ХОЗУ,  КУ МОУО</w:t>
            </w:r>
          </w:p>
          <w:p w14:paraId="16807535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591D39BC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513CC61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387AC8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6F1B66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21EEF8E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7CEFF2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0B1F10C0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41D25537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3D1BF30D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4480BEB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0AFE1A2E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513F0817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49DD3C0F" w14:textId="77777777">
        <w:trPr>
          <w:jc w:val="center"/>
        </w:trPr>
        <w:tc>
          <w:tcPr>
            <w:tcW w:w="472" w:type="dxa"/>
            <w:vMerge/>
          </w:tcPr>
          <w:p w14:paraId="24F567A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759528EF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650416C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EABBF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B3952E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12DA0D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E7F170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CA2CAE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C4F8ABC" w14:textId="77777777" w:rsidR="005C1096" w:rsidRDefault="00A3773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728A47AE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3DECC1F1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3ED90B66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27972185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6BEDC082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1AFF29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6DBF438F" w14:textId="77777777">
        <w:trPr>
          <w:jc w:val="center"/>
        </w:trPr>
        <w:tc>
          <w:tcPr>
            <w:tcW w:w="472" w:type="dxa"/>
            <w:vMerge w:val="restart"/>
          </w:tcPr>
          <w:p w14:paraId="4755E8C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45D1337A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vMerge w:val="restart"/>
          </w:tcPr>
          <w:p w14:paraId="05B0A6D7" w14:textId="77777777" w:rsidR="005C1096" w:rsidRDefault="00A37730"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lastRenderedPageBreak/>
              <w:t xml:space="preserve">соцразвития, ГО и ЧС, ХОЗУ  </w:t>
            </w:r>
          </w:p>
          <w:p w14:paraId="64FD3F93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7CD074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8" w:type="dxa"/>
          </w:tcPr>
          <w:p w14:paraId="6955DB1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DC3D3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C9E91D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A4E987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43BC44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 w14:paraId="63E6AB37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 w14:paraId="234356BE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 w14:paraId="696370DE" w14:textId="77777777" w:rsidR="005C1096" w:rsidRDefault="00A37730"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6EDD72E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0D64D415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7028F155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1096" w14:paraId="2ED3256B" w14:textId="77777777">
        <w:trPr>
          <w:jc w:val="center"/>
        </w:trPr>
        <w:tc>
          <w:tcPr>
            <w:tcW w:w="472" w:type="dxa"/>
            <w:vMerge/>
          </w:tcPr>
          <w:p w14:paraId="5D8FC48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6F743BF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92CB43D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30B75C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09B2498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7BBB2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6A8DB2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6EB6A1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052AE4D" w14:textId="77777777" w:rsidR="005C1096" w:rsidRDefault="00A37730"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 w14:paraId="2EF5C306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 w14:paraId="25478B2F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 w14:paraId="44B340EC" w14:textId="77777777" w:rsidR="005C1096" w:rsidRDefault="00A37730"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BCE7614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2A9496AA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2164B07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1096" w14:paraId="07B054B2" w14:textId="77777777">
        <w:trPr>
          <w:jc w:val="center"/>
        </w:trPr>
        <w:tc>
          <w:tcPr>
            <w:tcW w:w="472" w:type="dxa"/>
            <w:vMerge w:val="restart"/>
          </w:tcPr>
          <w:p w14:paraId="754F3F5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7C3D61F6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14:paraId="59E422A9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b/>
                <w:bCs/>
                <w:sz w:val="20"/>
                <w:szCs w:val="20"/>
              </w:rPr>
              <w:t>округа</w:t>
            </w:r>
            <w:r>
              <w:rPr>
                <w:b/>
                <w:sz w:val="20"/>
                <w:szCs w:val="20"/>
              </w:rPr>
              <w:t>» </w:t>
            </w:r>
          </w:p>
          <w:p w14:paraId="201296D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0430BF93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учреждения.</w:t>
            </w:r>
          </w:p>
        </w:tc>
        <w:tc>
          <w:tcPr>
            <w:tcW w:w="1098" w:type="dxa"/>
          </w:tcPr>
          <w:p w14:paraId="5D32103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64A5E9F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C0CD76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3B1941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E8B1D3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9ED495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4F23271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12A01FD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23F307B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3D7C250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5EA4D801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74FF782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1096" w14:paraId="385AA79F" w14:textId="77777777">
        <w:trPr>
          <w:jc w:val="center"/>
        </w:trPr>
        <w:tc>
          <w:tcPr>
            <w:tcW w:w="472" w:type="dxa"/>
            <w:vMerge/>
          </w:tcPr>
          <w:p w14:paraId="12ADE7E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34A5C449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667EFAC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627A7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19001C8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453ABB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8EFF75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78F1306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7DAD12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0096E18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37576E8F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30392E5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1CB4262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4628C936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25BC000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1096" w14:paraId="1176B473" w14:textId="77777777">
        <w:trPr>
          <w:jc w:val="center"/>
        </w:trPr>
        <w:tc>
          <w:tcPr>
            <w:tcW w:w="472" w:type="dxa"/>
            <w:vMerge w:val="restart"/>
          </w:tcPr>
          <w:p w14:paraId="08DD61B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2FFB8DD7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Профилактика правонарушений в отношении определенных категорий лиц и по отдельным видам противоправной деятельности,  в т.ч. несовершеннолетних</w:t>
            </w:r>
          </w:p>
        </w:tc>
        <w:tc>
          <w:tcPr>
            <w:tcW w:w="1080" w:type="dxa"/>
            <w:vMerge w:val="restart"/>
          </w:tcPr>
          <w:p w14:paraId="607D4672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</w:tcPr>
          <w:p w14:paraId="41047F59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64963D7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2BFF62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953622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1EE860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3D3D07B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7FF1E3C2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DBB8AF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1ECE87B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43824B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28E50F51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76896F1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7730FBE1" w14:textId="77777777">
        <w:trPr>
          <w:jc w:val="center"/>
        </w:trPr>
        <w:tc>
          <w:tcPr>
            <w:tcW w:w="472" w:type="dxa"/>
            <w:vMerge/>
          </w:tcPr>
          <w:p w14:paraId="11F548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09DE496E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FB3B018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B7745D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49BFEB2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2AD160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532E2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2C31181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2771E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5ECF5D0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5431AEB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11095B8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2F09463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11D6EB8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7D17053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1898E208" w14:textId="77777777">
        <w:trPr>
          <w:trHeight w:val="281"/>
          <w:jc w:val="center"/>
        </w:trPr>
        <w:tc>
          <w:tcPr>
            <w:tcW w:w="472" w:type="dxa"/>
            <w:vMerge w:val="restart"/>
          </w:tcPr>
          <w:p w14:paraId="2D3BD75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6BC19832" w14:textId="77777777" w:rsidR="005C1096" w:rsidRDefault="00A3773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</w:p>
          <w:p w14:paraId="7CF8A3B5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080" w:type="dxa"/>
            <w:vMerge w:val="restart"/>
          </w:tcPr>
          <w:p w14:paraId="69AD462C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</w:tcPr>
          <w:p w14:paraId="3769E3B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7451EC9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5EE92D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C84BD5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7B608E0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14:paraId="4235205F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0B27AC2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0C047DF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2360EA69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580D7FC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18EBF9F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2FE2530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C1096" w14:paraId="11E9D60C" w14:textId="77777777">
        <w:trPr>
          <w:jc w:val="center"/>
        </w:trPr>
        <w:tc>
          <w:tcPr>
            <w:tcW w:w="472" w:type="dxa"/>
            <w:vMerge/>
          </w:tcPr>
          <w:p w14:paraId="3C240B3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4DD04E85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B612DF7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A2D3AE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43A093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1802D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D51883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BE3654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14:paraId="6DB1DABD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5B21857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3009E30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0656366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3471676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7D99BD4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0DFF303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C1096" w14:paraId="5E5E78D2" w14:textId="77777777">
        <w:trPr>
          <w:jc w:val="center"/>
        </w:trPr>
        <w:tc>
          <w:tcPr>
            <w:tcW w:w="472" w:type="dxa"/>
          </w:tcPr>
          <w:p w14:paraId="52C54DF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64C109B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№3  «</w:t>
            </w:r>
            <w:r>
              <w:rPr>
                <w:b/>
                <w:sz w:val="20"/>
                <w:szCs w:val="20"/>
                <w:shd w:val="clear" w:color="auto" w:fill="FFFFFF"/>
              </w:rPr>
              <w:t>Профилактика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>
              <w:rPr>
                <w:b/>
                <w:sz w:val="20"/>
                <w:szCs w:val="20"/>
              </w:rPr>
              <w:t>Анучинском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 муниципальном </w:t>
            </w:r>
            <w:r>
              <w:rPr>
                <w:b/>
                <w:bCs/>
                <w:sz w:val="20"/>
                <w:szCs w:val="20"/>
              </w:rPr>
              <w:lastRenderedPageBreak/>
              <w:t>округе</w:t>
            </w:r>
            <w:r>
              <w:rPr>
                <w:b/>
                <w:sz w:val="20"/>
                <w:szCs w:val="20"/>
              </w:rPr>
              <w:t>»</w:t>
            </w:r>
          </w:p>
          <w:p w14:paraId="5F260663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FFC60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Правовой отдел, КНД и ЗП,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>
              <w:rPr>
                <w:sz w:val="20"/>
                <w:szCs w:val="20"/>
              </w:rPr>
              <w:lastRenderedPageBreak/>
              <w:t>культурнодосуговые</w:t>
            </w:r>
            <w:proofErr w:type="spellEnd"/>
            <w:r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098" w:type="dxa"/>
          </w:tcPr>
          <w:p w14:paraId="5611C4B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338" w:type="dxa"/>
          </w:tcPr>
          <w:p w14:paraId="02B58D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9EF535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D5D846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7AE4D8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4E16CAC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</w:tcPr>
          <w:p w14:paraId="5712A52D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</w:tcPr>
          <w:p w14:paraId="01578D03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</w:tcPr>
          <w:p w14:paraId="16C96184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</w:tcPr>
          <w:p w14:paraId="46AECBFC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70" w:type="dxa"/>
          </w:tcPr>
          <w:p w14:paraId="3AD46F62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70" w:type="dxa"/>
          </w:tcPr>
          <w:p w14:paraId="02C1C2E5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C1096" w14:paraId="28DAA00C" w14:textId="77777777">
        <w:trPr>
          <w:jc w:val="center"/>
        </w:trPr>
        <w:tc>
          <w:tcPr>
            <w:tcW w:w="472" w:type="dxa"/>
            <w:vMerge w:val="restart"/>
          </w:tcPr>
          <w:p w14:paraId="694E01E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70AB13AA" w14:textId="77777777" w:rsidR="005C1096" w:rsidRDefault="00A3773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3.1.</w:t>
            </w:r>
          </w:p>
          <w:p w14:paraId="6E1E556B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Мероприятия, направленные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1080" w:type="dxa"/>
            <w:vMerge w:val="restart"/>
          </w:tcPr>
          <w:p w14:paraId="1CBFE308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087578CF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DA85AF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EB59CC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84D48B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7EBE2C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3F670890" w14:textId="77777777" w:rsidR="005C1096" w:rsidRDefault="00A3773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6EC05F37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6511B830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73D4095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28772AC5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7EB08B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55DA0AB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1096" w14:paraId="0631C3F3" w14:textId="77777777">
        <w:trPr>
          <w:trHeight w:val="90"/>
          <w:jc w:val="center"/>
        </w:trPr>
        <w:tc>
          <w:tcPr>
            <w:tcW w:w="472" w:type="dxa"/>
            <w:vMerge/>
          </w:tcPr>
          <w:p w14:paraId="663AA65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730CBB29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A75066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682CC6D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2E9178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337D2F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FA5D19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766184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2BDF26B" w14:textId="77777777" w:rsidR="005C1096" w:rsidRDefault="00A377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7C09ED8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23EA3B39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6BEEB1D3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3F28EDBA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2034DF0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275BC217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1096" w14:paraId="205EEE6F" w14:textId="77777777">
        <w:trPr>
          <w:jc w:val="center"/>
        </w:trPr>
        <w:tc>
          <w:tcPr>
            <w:tcW w:w="472" w:type="dxa"/>
          </w:tcPr>
          <w:p w14:paraId="3E3701B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F49AB69" w14:textId="77777777" w:rsidR="005C1096" w:rsidRDefault="00A3773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3.2.</w:t>
            </w:r>
          </w:p>
          <w:p w14:paraId="2841C47F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информационно-пропагандистских мер по формированию </w:t>
            </w:r>
            <w:r>
              <w:rPr>
                <w:sz w:val="20"/>
                <w:szCs w:val="20"/>
              </w:rPr>
              <w:t>негативного отношения в обществе к немедицинскому потреблению наркотиков</w:t>
            </w:r>
          </w:p>
        </w:tc>
        <w:tc>
          <w:tcPr>
            <w:tcW w:w="1080" w:type="dxa"/>
          </w:tcPr>
          <w:p w14:paraId="7E1BFE72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12FD521B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B437E7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75899D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D11ABE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9FDD4D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9DA9D28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</w:tcPr>
          <w:p w14:paraId="52CC070F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</w:tcPr>
          <w:p w14:paraId="7837AA48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</w:tcPr>
          <w:p w14:paraId="0A8C723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</w:tcPr>
          <w:p w14:paraId="49064461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70" w:type="dxa"/>
          </w:tcPr>
          <w:p w14:paraId="107A110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70" w:type="dxa"/>
          </w:tcPr>
          <w:p w14:paraId="35EB566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C1096" w14:paraId="21A92B4F" w14:textId="77777777">
        <w:trPr>
          <w:jc w:val="center"/>
        </w:trPr>
        <w:tc>
          <w:tcPr>
            <w:tcW w:w="472" w:type="dxa"/>
          </w:tcPr>
          <w:p w14:paraId="74EDEE9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6E60D23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b/>
                <w:color w:val="000000"/>
                <w:sz w:val="20"/>
                <w:szCs w:val="20"/>
              </w:rPr>
              <w:t>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3.3</w:t>
            </w:r>
            <w:r>
              <w:rPr>
                <w:bCs/>
                <w:sz w:val="20"/>
                <w:szCs w:val="20"/>
              </w:rPr>
              <w:t>.</w:t>
            </w:r>
          </w:p>
          <w:p w14:paraId="2292D740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080" w:type="dxa"/>
          </w:tcPr>
          <w:p w14:paraId="76587C6D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3BAA5B0F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17412D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D04558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A52844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AA83B0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2EE5D94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</w:tcPr>
          <w:p w14:paraId="1D88DA46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</w:tcPr>
          <w:p w14:paraId="262A6B4D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</w:tcPr>
          <w:p w14:paraId="44632178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</w:tcPr>
          <w:p w14:paraId="2A07D0C9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70" w:type="dxa"/>
          </w:tcPr>
          <w:p w14:paraId="08E180D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70" w:type="dxa"/>
          </w:tcPr>
          <w:p w14:paraId="4E189F6E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</w:tbl>
    <w:p w14:paraId="71EF4233" w14:textId="77777777" w:rsidR="005C1096" w:rsidRDefault="00A37730">
      <w:pPr>
        <w:shd w:val="clear" w:color="auto" w:fill="FFFFFF"/>
        <w:spacing w:before="108" w:after="108"/>
        <w:ind w:firstLineChars="257" w:firstLine="720"/>
        <w:jc w:val="both"/>
        <w:outlineLvl w:val="0"/>
        <w:rPr>
          <w:color w:val="000000"/>
          <w:sz w:val="28"/>
          <w:szCs w:val="28"/>
        </w:rPr>
      </w:pPr>
      <w:r>
        <w:rPr>
          <w:kern w:val="36"/>
          <w:sz w:val="28"/>
          <w:szCs w:val="28"/>
          <w:lang w:val="en-US"/>
        </w:rPr>
        <w:t xml:space="preserve"> </w:t>
      </w:r>
    </w:p>
    <w:p w14:paraId="02CB89D4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2.4.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«Профилактика экстремизма и терроризма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округе»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449A9CF2" w14:textId="77777777">
        <w:tc>
          <w:tcPr>
            <w:tcW w:w="4503" w:type="dxa"/>
          </w:tcPr>
          <w:p w14:paraId="557341B0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41ABD535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212,8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т.ч. по годам:</w:t>
            </w:r>
          </w:p>
          <w:p w14:paraId="781F1BAE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C75E2B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1874DB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EBE1B89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E33225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ABA7AE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7F0A4C2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г. - 30,4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4917881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26CDEA1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</w:t>
            </w:r>
            <w:r>
              <w:rPr>
                <w:sz w:val="28"/>
                <w:szCs w:val="28"/>
              </w:rPr>
              <w:t xml:space="preserve">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</w:tr>
    </w:tbl>
    <w:p w14:paraId="7A83BDE9" w14:textId="77777777" w:rsidR="005C1096" w:rsidRDefault="005C1096">
      <w:pPr>
        <w:autoSpaceDE w:val="0"/>
        <w:autoSpaceDN w:val="0"/>
        <w:adjustRightInd w:val="0"/>
        <w:ind w:firstLineChars="257" w:firstLine="720"/>
        <w:jc w:val="center"/>
        <w:rPr>
          <w:bCs/>
          <w:sz w:val="28"/>
          <w:szCs w:val="28"/>
        </w:rPr>
      </w:pPr>
    </w:p>
    <w:p w14:paraId="2B199738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2.5.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«Профилактика правонарушений 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территорииАнучинского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муниципального округа»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054A311A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7B0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средст</w:t>
            </w:r>
            <w:r>
              <w:rPr>
                <w:bCs/>
                <w:sz w:val="28"/>
                <w:szCs w:val="28"/>
              </w:rPr>
              <w:t xml:space="preserve">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45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4573BFF7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4982D8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D17D38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61BF94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A36FAF3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A461452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0D8651A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74F8230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6E65955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4A1E3E55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 Анучинского  муниципального округа</w:t>
            </w:r>
          </w:p>
        </w:tc>
      </w:tr>
    </w:tbl>
    <w:p w14:paraId="0A4A6D58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2.6.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Профилактика наркомании, незаконного потребления наркотических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психотропных веществ 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округе»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2B8D523A" w14:textId="77777777">
        <w:tc>
          <w:tcPr>
            <w:tcW w:w="4503" w:type="dxa"/>
          </w:tcPr>
          <w:p w14:paraId="6451739A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средст</w:t>
            </w:r>
            <w:r>
              <w:rPr>
                <w:bCs/>
                <w:sz w:val="28"/>
                <w:szCs w:val="28"/>
              </w:rPr>
              <w:t xml:space="preserve">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23CCC259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>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</w:t>
            </w:r>
            <w:r>
              <w:rPr>
                <w:sz w:val="28"/>
                <w:szCs w:val="28"/>
              </w:rPr>
              <w:t>ч. по годам:</w:t>
            </w:r>
          </w:p>
          <w:p w14:paraId="01489D4A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г.- 35,0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9C6C1E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г.- 35,0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909803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г.- 35,0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C89170C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г.- 35,0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6095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г.- 35,0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3E2251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15B63B1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0B051F92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5E98EB72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14:paraId="67983E6E" w14:textId="77777777" w:rsidR="005C1096" w:rsidRDefault="005C1096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color w:val="000000"/>
          <w:sz w:val="28"/>
          <w:szCs w:val="28"/>
        </w:rPr>
      </w:pPr>
    </w:p>
    <w:p w14:paraId="569FE71D" w14:textId="77777777" w:rsidR="005C1096" w:rsidRDefault="00A37730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4F72259E" w14:textId="77777777" w:rsidR="005C1096" w:rsidRDefault="00A37730">
      <w:pPr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Контроль за исполнением данного постановления возложить на первого заместителя главы администрации Анучинского муниципального округа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6919EF52" w14:textId="77777777" w:rsidR="005C1096" w:rsidRDefault="005C1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FEFD39" w14:textId="77777777" w:rsidR="005C1096" w:rsidRDefault="005C1096">
      <w:pPr>
        <w:rPr>
          <w:sz w:val="28"/>
          <w:szCs w:val="28"/>
        </w:rPr>
      </w:pPr>
    </w:p>
    <w:p w14:paraId="2B4544C8" w14:textId="77777777" w:rsidR="005C1096" w:rsidRDefault="00A377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1B6C74AA" w14:textId="77777777" w:rsidR="005C1096" w:rsidRDefault="00A37730">
      <w:r>
        <w:rPr>
          <w:sz w:val="28"/>
          <w:szCs w:val="28"/>
        </w:rPr>
        <w:t>муниципального округа                                                              С.А.По</w:t>
      </w:r>
      <w:r>
        <w:rPr>
          <w:sz w:val="28"/>
          <w:szCs w:val="28"/>
        </w:rPr>
        <w:t>нуровский</w:t>
      </w:r>
    </w:p>
    <w:sectPr w:rsidR="005C10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A320" w14:textId="77777777" w:rsidR="005C1096" w:rsidRDefault="00A37730">
      <w:r>
        <w:separator/>
      </w:r>
    </w:p>
  </w:endnote>
  <w:endnote w:type="continuationSeparator" w:id="0">
    <w:p w14:paraId="19544F8B" w14:textId="77777777" w:rsidR="005C1096" w:rsidRDefault="00A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83D2" w14:textId="77777777" w:rsidR="005C1096" w:rsidRDefault="00A37730">
      <w:r>
        <w:separator/>
      </w:r>
    </w:p>
  </w:footnote>
  <w:footnote w:type="continuationSeparator" w:id="0">
    <w:p w14:paraId="4DD988D8" w14:textId="77777777" w:rsidR="005C1096" w:rsidRDefault="00A3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C1096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A12762"/>
    <w:rsid w:val="00A37730"/>
    <w:rsid w:val="00B3745D"/>
    <w:rsid w:val="00B82F27"/>
    <w:rsid w:val="00BA70F8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  <w:rsid w:val="07E11D43"/>
    <w:rsid w:val="150D0B0B"/>
    <w:rsid w:val="16614BA8"/>
    <w:rsid w:val="334F5D22"/>
    <w:rsid w:val="3C686D06"/>
    <w:rsid w:val="41C63D59"/>
    <w:rsid w:val="501011F6"/>
    <w:rsid w:val="5D013DC0"/>
    <w:rsid w:val="652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EBE"/>
  <w15:docId w15:val="{A89F93A5-69BD-4633-988C-B6FC2196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qFormat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a">
    <w:name w:val="List Paragraph"/>
    <w:basedOn w:val="a"/>
    <w:uiPriority w:val="34"/>
    <w:qFormat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8723</Characters>
  <Application>Microsoft Office Word</Application>
  <DocSecurity>0</DocSecurity>
  <Lines>72</Lines>
  <Paragraphs>20</Paragraphs>
  <ScaleCrop>false</ScaleCrop>
  <Company>Microsoft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7</cp:revision>
  <cp:lastPrinted>2024-01-11T02:43:00Z</cp:lastPrinted>
  <dcterms:created xsi:type="dcterms:W3CDTF">2020-12-03T00:11:00Z</dcterms:created>
  <dcterms:modified xsi:type="dcterms:W3CDTF">2024-01-15T22:43:00Z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78608D399F9A4AC09DCF5338420FEDFC_13</vt:lpwstr>
  </property>
</Properties>
</file>