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07DB4" w14:textId="77777777" w:rsidR="002007DA" w:rsidRPr="0042108F" w:rsidRDefault="002007DA" w:rsidP="002007DA">
      <w:pPr>
        <w:shd w:val="clear" w:color="auto" w:fill="FFFFFF"/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</w:pPr>
      <w:bookmarkStart w:id="0" w:name="_GoBack"/>
      <w:r w:rsidRPr="0042108F"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  <w:t>Работодатель не вправе уменьшать размер стимулирующей выплаты в связи с уклонением работника от вакцинации против COVID-19</w:t>
      </w:r>
    </w:p>
    <w:bookmarkEnd w:id="0"/>
    <w:p w14:paraId="163351BD" w14:textId="77777777" w:rsidR="00AF48EB" w:rsidRPr="002007DA" w:rsidRDefault="002007DA" w:rsidP="002007D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07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Размер стимулирующей выплаты, предусмотренной системой оплаты труда, определяется в зависимости от результатов труда работника по итогам соответствующего периода. Премия является составной частью заработной платы и должна быть поименована в трудовом договоре.</w:t>
      </w:r>
    </w:p>
    <w:p w14:paraId="49D36FFD" w14:textId="77777777" w:rsidR="002007DA" w:rsidRPr="002007DA" w:rsidRDefault="002007DA" w:rsidP="002007D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2007DA">
        <w:rPr>
          <w:color w:val="333333"/>
          <w:sz w:val="28"/>
          <w:szCs w:val="28"/>
        </w:rPr>
        <w:t>Несмотря на то, что работодатель может устанавливать повышенные или дополнительные гарантии и компенсации – в том числе по предоставлению дополнительных выплат работникам, принимающим участие в мероприятиях по предотвращению распространения новой коронавирусной инфекции – в коллективном договоре или локальном нормативном акте с учетом финансово-экономического положения работодателя (</w:t>
      </w:r>
      <w:hyperlink r:id="rId5" w:anchor="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" w:history="1">
        <w:r w:rsidRPr="002007DA">
          <w:rPr>
            <w:rStyle w:val="a4"/>
            <w:color w:val="808080"/>
            <w:sz w:val="28"/>
            <w:szCs w:val="28"/>
            <w:bdr w:val="none" w:sz="0" w:space="0" w:color="auto" w:frame="1"/>
          </w:rPr>
          <w:t>письмо Минтруда России от 7 июня 2021 г. № 14-4/10/П-4243</w:t>
        </w:r>
      </w:hyperlink>
      <w:r w:rsidRPr="002007DA">
        <w:rPr>
          <w:color w:val="333333"/>
          <w:sz w:val="28"/>
          <w:szCs w:val="28"/>
        </w:rPr>
        <w:t>), следует иметь в виду следующее. Согласно </w:t>
      </w:r>
      <w:hyperlink r:id="rId6" w:anchor="p_25" w:history="1">
        <w:r w:rsidRPr="002007DA">
          <w:rPr>
            <w:rStyle w:val="a4"/>
            <w:color w:val="808080"/>
            <w:sz w:val="28"/>
            <w:szCs w:val="28"/>
            <w:bdr w:val="none" w:sz="0" w:space="0" w:color="auto" w:frame="1"/>
          </w:rPr>
          <w:t>п. 2 приложения № 2</w:t>
        </w:r>
      </w:hyperlink>
      <w:r w:rsidRPr="002007DA">
        <w:rPr>
          <w:color w:val="333333"/>
          <w:sz w:val="28"/>
          <w:szCs w:val="28"/>
        </w:rPr>
        <w:t> к </w:t>
      </w:r>
      <w:hyperlink r:id="rId7" w:history="1">
        <w:r w:rsidRPr="002007DA">
          <w:rPr>
            <w:rStyle w:val="a4"/>
            <w:color w:val="808080"/>
            <w:sz w:val="28"/>
            <w:szCs w:val="28"/>
            <w:bdr w:val="none" w:sz="0" w:space="0" w:color="auto" w:frame="1"/>
          </w:rPr>
          <w:t>приказу Минздравсоцразвития России 29 декабря 2007 г. № 818</w:t>
        </w:r>
      </w:hyperlink>
      <w:r w:rsidRPr="002007DA">
        <w:rPr>
          <w:color w:val="333333"/>
          <w:sz w:val="28"/>
          <w:szCs w:val="28"/>
        </w:rPr>
        <w:t> 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 Такие выплаты устанавливаются работнику с учетом критериев, позволяющих оценить результативность и качество его работы, с учетом рекомендаций соответствующих федеральных органов исполнительной власти.</w:t>
      </w:r>
    </w:p>
    <w:p w14:paraId="4F7C1CD1" w14:textId="77777777" w:rsidR="002007DA" w:rsidRPr="002007DA" w:rsidRDefault="002007DA" w:rsidP="002007D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2007DA">
        <w:rPr>
          <w:color w:val="333333"/>
          <w:sz w:val="28"/>
          <w:szCs w:val="28"/>
        </w:rPr>
        <w:t xml:space="preserve">Выплата стимулирующей премии должна быть обусловлена трудовой деятельностью работника. Установление такого критерия для начисления стимулирующей выплаты, как наличие или отсутствие прививки против COVID-19, не будет соответствовать правовой природе стимулирующей выплаты. </w:t>
      </w:r>
    </w:p>
    <w:p w14:paraId="676A6AF2" w14:textId="77777777" w:rsidR="002007DA" w:rsidRDefault="002007DA"/>
    <w:sectPr w:rsidR="0020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7303F"/>
    <w:multiLevelType w:val="multilevel"/>
    <w:tmpl w:val="466A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42065"/>
    <w:multiLevelType w:val="multilevel"/>
    <w:tmpl w:val="D882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A048D"/>
    <w:multiLevelType w:val="multilevel"/>
    <w:tmpl w:val="6998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7DA"/>
    <w:rsid w:val="002007DA"/>
    <w:rsid w:val="0042108F"/>
    <w:rsid w:val="00A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0DC7"/>
  <w15:docId w15:val="{D223A42A-588E-49B9-ADB5-79F4A6CB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0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927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92714/f7ee959fd36b5699076b35abf4f52c5c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538</Words>
  <Characters>3070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Ольга И. Яковенко</cp:lastModifiedBy>
  <cp:revision>3</cp:revision>
  <cp:lastPrinted>2021-12-29T11:13:00Z</cp:lastPrinted>
  <dcterms:created xsi:type="dcterms:W3CDTF">2021-12-29T11:09:00Z</dcterms:created>
  <dcterms:modified xsi:type="dcterms:W3CDTF">2022-01-11T01:54:00Z</dcterms:modified>
</cp:coreProperties>
</file>