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7" w:rsidRPr="00AC33BC" w:rsidRDefault="001635BA" w:rsidP="00307B17">
      <w:pPr>
        <w:shd w:val="clear" w:color="auto" w:fill="FFFFFF"/>
        <w:jc w:val="center"/>
        <w:rPr>
          <w:sz w:val="18"/>
          <w:szCs w:val="26"/>
        </w:rPr>
      </w:pPr>
      <w:r w:rsidRPr="00AC33BC">
        <w:rPr>
          <w:noProof/>
          <w:sz w:val="18"/>
          <w:szCs w:val="26"/>
        </w:rPr>
        <w:drawing>
          <wp:inline distT="0" distB="0" distL="0" distR="0" wp14:anchorId="3AD4FF19" wp14:editId="184B2AFD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3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2A6D60" wp14:editId="11B2D35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B17" w:rsidRDefault="00307B17" w:rsidP="00307B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" o:allowincell="f" stroked="f">
                <v:path arrowok="t"/>
                <v:textbox>
                  <w:txbxContent>
                    <w:p w:rsidR="00307B17" w:rsidRDefault="00307B17" w:rsidP="00307B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АДМИНИСТРАЦИЯ</w: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АНУЧИНСКОГО МУНИЦИПАЛЬНОГО ОКРУГА</w: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ПРИМОРСКОГО КРАЯ</w:t>
      </w: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:rsidR="00307B17" w:rsidRPr="00AC33BC" w:rsidRDefault="00307B17" w:rsidP="00307B17">
      <w:pPr>
        <w:spacing w:line="360" w:lineRule="auto"/>
        <w:jc w:val="center"/>
        <w:rPr>
          <w:rFonts w:eastAsia="NSimSun" w:cs="Mangal"/>
          <w:kern w:val="2"/>
          <w:sz w:val="28"/>
          <w:szCs w:val="28"/>
          <w:lang w:eastAsia="zh-CN" w:bidi="hi-IN"/>
        </w:rPr>
      </w:pPr>
      <w:r w:rsidRPr="00AC33BC">
        <w:rPr>
          <w:rFonts w:eastAsia="NSimSun" w:cs="Mangal"/>
          <w:kern w:val="2"/>
          <w:sz w:val="28"/>
          <w:szCs w:val="28"/>
          <w:lang w:eastAsia="zh-CN" w:bidi="hi-IN"/>
        </w:rPr>
        <w:t>ПОСТАНОВЛЕНИЕ</w:t>
      </w:r>
    </w:p>
    <w:p w:rsidR="00307B17" w:rsidRPr="00AC33BC" w:rsidRDefault="00307B17" w:rsidP="00307B17">
      <w:pPr>
        <w:shd w:val="clear" w:color="auto" w:fill="FFFFFF"/>
        <w:jc w:val="center"/>
        <w:rPr>
          <w:sz w:val="16"/>
          <w:szCs w:val="26"/>
        </w:rPr>
      </w:pPr>
    </w:p>
    <w:p w:rsidR="00307B17" w:rsidRPr="00AC33BC" w:rsidRDefault="00307B17" w:rsidP="00307B17">
      <w:pPr>
        <w:shd w:val="clear" w:color="auto" w:fill="FFFFFF"/>
        <w:jc w:val="center"/>
        <w:rPr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07B17" w:rsidRPr="00AC33BC" w:rsidTr="0098079E">
        <w:trPr>
          <w:jc w:val="center"/>
        </w:trPr>
        <w:tc>
          <w:tcPr>
            <w:tcW w:w="295" w:type="dxa"/>
          </w:tcPr>
          <w:p w:rsidR="00307B17" w:rsidRPr="00AC33BC" w:rsidRDefault="00307B17" w:rsidP="00307B1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B17" w:rsidRPr="00AC33BC" w:rsidRDefault="0091226B" w:rsidP="00307B1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284" w:type="dxa"/>
          </w:tcPr>
          <w:p w:rsidR="00307B17" w:rsidRPr="00AC33BC" w:rsidRDefault="00307B17" w:rsidP="00307B1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307B17" w:rsidRPr="00AC33BC" w:rsidRDefault="00307B17" w:rsidP="00307B17">
            <w:pPr>
              <w:ind w:left="-675"/>
              <w:jc w:val="center"/>
              <w:rPr>
                <w:sz w:val="28"/>
                <w:szCs w:val="28"/>
              </w:rPr>
            </w:pPr>
            <w:r w:rsidRPr="00AC33BC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307B17" w:rsidRPr="00AC33BC" w:rsidRDefault="00307B17" w:rsidP="00307B17">
            <w:pPr>
              <w:jc w:val="center"/>
              <w:rPr>
                <w:sz w:val="28"/>
                <w:szCs w:val="28"/>
              </w:rPr>
            </w:pPr>
            <w:r w:rsidRPr="00AC33BC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B17" w:rsidRPr="00AC33BC" w:rsidRDefault="0091226B" w:rsidP="00307B17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307B17" w:rsidRPr="00AC33BC" w:rsidRDefault="00307B17" w:rsidP="00307B17">
      <w:pPr>
        <w:rPr>
          <w:sz w:val="26"/>
          <w:szCs w:val="26"/>
        </w:rPr>
      </w:pPr>
    </w:p>
    <w:p w:rsidR="00307B17" w:rsidRPr="00AC33BC" w:rsidRDefault="00307B17" w:rsidP="00F415DB">
      <w:pPr>
        <w:rPr>
          <w:sz w:val="28"/>
          <w:szCs w:val="28"/>
        </w:rPr>
      </w:pPr>
    </w:p>
    <w:p w:rsidR="00307B17" w:rsidRPr="00AC33BC" w:rsidRDefault="00307B17" w:rsidP="00307B17">
      <w:pPr>
        <w:tabs>
          <w:tab w:val="left" w:pos="720"/>
        </w:tabs>
        <w:jc w:val="center"/>
        <w:rPr>
          <w:b/>
          <w:sz w:val="28"/>
          <w:szCs w:val="28"/>
        </w:rPr>
      </w:pPr>
      <w:r w:rsidRPr="00AC33BC">
        <w:rPr>
          <w:b/>
          <w:sz w:val="28"/>
          <w:szCs w:val="28"/>
        </w:rPr>
        <w:t>О внесении изменений в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</w:p>
    <w:p w:rsidR="00390C67" w:rsidRPr="00AC33BC" w:rsidRDefault="00390C6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ab/>
      </w:r>
    </w:p>
    <w:p w:rsidR="00990471" w:rsidRPr="00AC33BC" w:rsidRDefault="00990471" w:rsidP="00990471">
      <w:pPr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целях реализации норм 189-ФЗ «О государственном (муниципальном) социальном заказе на оказание государственных (муниципальных) услуг в социальной сфере», в соответствии с </w:t>
      </w:r>
      <w:r w:rsidRPr="00AC33BC">
        <w:rPr>
          <w:rFonts w:eastAsia="NSimSun" w:cs="Mangal"/>
          <w:kern w:val="2"/>
          <w:sz w:val="28"/>
          <w:szCs w:val="28"/>
          <w:lang w:eastAsia="zh-CN" w:bidi="hi-IN"/>
        </w:rPr>
        <w:t>Уставом Анучинского муниципального округа Приморского края</w:t>
      </w:r>
      <w:r w:rsidRPr="00AC33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33BC">
        <w:rPr>
          <w:rFonts w:eastAsia="Calibri"/>
          <w:sz w:val="28"/>
          <w:szCs w:val="28"/>
          <w:lang w:eastAsia="en-US"/>
        </w:rPr>
        <w:t>администрация Анучинского муниципального округа Приморского края</w:t>
      </w:r>
    </w:p>
    <w:p w:rsidR="00307B17" w:rsidRPr="00AC33BC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ПОСТАНОВЛЯЕТ:</w:t>
      </w: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F37415" w:rsidRDefault="00307B17" w:rsidP="001F2190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Внести </w:t>
      </w:r>
      <w:bookmarkStart w:id="0" w:name="_GoBack"/>
      <w:r w:rsidRPr="00F37415">
        <w:rPr>
          <w:rFonts w:eastAsia="Calibri"/>
          <w:sz w:val="28"/>
          <w:szCs w:val="28"/>
          <w:lang w:eastAsia="en-US"/>
        </w:rPr>
        <w:t>в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  <w:bookmarkEnd w:id="0"/>
      <w:r w:rsidR="003116FD" w:rsidRPr="00F37415">
        <w:rPr>
          <w:rFonts w:eastAsia="Calibri"/>
          <w:sz w:val="28"/>
          <w:szCs w:val="28"/>
          <w:lang w:eastAsia="en-US"/>
        </w:rPr>
        <w:t xml:space="preserve"> (далее –  Программа)</w:t>
      </w:r>
      <w:r w:rsidRPr="00F37415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EC5E5D" w:rsidRPr="00F37415" w:rsidRDefault="003116FD" w:rsidP="00EC5E5D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П</w:t>
      </w:r>
      <w:r w:rsidR="00EC5E5D" w:rsidRPr="00F37415">
        <w:rPr>
          <w:rFonts w:eastAsia="Calibri"/>
          <w:sz w:val="28"/>
          <w:szCs w:val="28"/>
          <w:lang w:eastAsia="en-US"/>
        </w:rPr>
        <w:t>ункт 8 п</w:t>
      </w:r>
      <w:r w:rsidRPr="00F37415">
        <w:rPr>
          <w:rFonts w:eastAsia="Calibri"/>
          <w:sz w:val="28"/>
          <w:szCs w:val="28"/>
          <w:lang w:eastAsia="en-US"/>
        </w:rPr>
        <w:t>одраздел</w:t>
      </w:r>
      <w:r w:rsidR="00EC5E5D" w:rsidRPr="00F37415">
        <w:rPr>
          <w:rFonts w:eastAsia="Calibri"/>
          <w:sz w:val="28"/>
          <w:szCs w:val="28"/>
          <w:lang w:eastAsia="en-US"/>
        </w:rPr>
        <w:t>а</w:t>
      </w:r>
      <w:r w:rsidRPr="00F37415">
        <w:rPr>
          <w:rFonts w:eastAsia="Calibri"/>
          <w:sz w:val="28"/>
          <w:szCs w:val="28"/>
          <w:lang w:eastAsia="en-US"/>
        </w:rPr>
        <w:t xml:space="preserve"> «Индикаторы (показатели) муниципальной программы» р</w:t>
      </w:r>
      <w:r w:rsidR="00DE6F0E" w:rsidRPr="00F37415">
        <w:rPr>
          <w:rFonts w:eastAsia="Calibri"/>
          <w:sz w:val="28"/>
          <w:szCs w:val="28"/>
          <w:lang w:eastAsia="en-US"/>
        </w:rPr>
        <w:t>аздел</w:t>
      </w:r>
      <w:r w:rsidRPr="00F37415">
        <w:rPr>
          <w:rFonts w:eastAsia="Calibri"/>
          <w:sz w:val="28"/>
          <w:szCs w:val="28"/>
          <w:lang w:eastAsia="en-US"/>
        </w:rPr>
        <w:t>а</w:t>
      </w:r>
      <w:r w:rsidR="00FF61E9" w:rsidRPr="00F37415">
        <w:rPr>
          <w:rFonts w:eastAsia="Calibri"/>
          <w:sz w:val="28"/>
          <w:szCs w:val="28"/>
          <w:lang w:eastAsia="en-US"/>
        </w:rPr>
        <w:t xml:space="preserve"> 1 «Паспорт»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 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изложить в новой редакции: 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E6F0E" w:rsidRPr="00F37415">
        <w:rPr>
          <w:rFonts w:eastAsia="Calibri"/>
          <w:sz w:val="28"/>
          <w:szCs w:val="28"/>
          <w:lang w:eastAsia="en-US"/>
        </w:rPr>
        <w:t>«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</w:t>
      </w:r>
      <w:r w:rsidR="00EC5E5D" w:rsidRPr="00F37415">
        <w:rPr>
          <w:rFonts w:eastAsia="Calibri"/>
          <w:sz w:val="28"/>
          <w:szCs w:val="28"/>
          <w:lang w:eastAsia="en-US"/>
        </w:rPr>
        <w:lastRenderedPageBreak/>
        <w:t xml:space="preserve">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</w:t>
      </w:r>
      <w:r w:rsidR="007B4604">
        <w:rPr>
          <w:rFonts w:eastAsia="Calibri"/>
          <w:sz w:val="28"/>
          <w:szCs w:val="28"/>
          <w:lang w:eastAsia="en-US"/>
        </w:rPr>
        <w:t>«детская школа искусств», «детская музыкальная школа»,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хоровая школа</w:t>
      </w:r>
      <w:r w:rsidR="007B4604">
        <w:rPr>
          <w:rFonts w:eastAsia="Calibri"/>
          <w:sz w:val="28"/>
          <w:szCs w:val="28"/>
          <w:lang w:eastAsia="en-US"/>
        </w:rPr>
        <w:t>»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, </w:t>
      </w:r>
      <w:r w:rsidR="007B4604">
        <w:rPr>
          <w:rFonts w:eastAsia="Calibri"/>
          <w:sz w:val="28"/>
          <w:szCs w:val="28"/>
          <w:lang w:eastAsia="en-US"/>
        </w:rPr>
        <w:t>«</w:t>
      </w:r>
      <w:r w:rsidR="00EC5E5D" w:rsidRPr="00F37415">
        <w:rPr>
          <w:rFonts w:eastAsia="Calibri"/>
          <w:sz w:val="28"/>
          <w:szCs w:val="28"/>
          <w:lang w:eastAsia="en-US"/>
        </w:rPr>
        <w:t>детская художественная школа</w:t>
      </w:r>
      <w:r w:rsidR="007B4604">
        <w:rPr>
          <w:rFonts w:eastAsia="Calibri"/>
          <w:sz w:val="28"/>
          <w:szCs w:val="28"/>
          <w:lang w:eastAsia="en-US"/>
        </w:rPr>
        <w:t>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хореографическая школа</w:t>
      </w:r>
      <w:r w:rsidR="007B4604">
        <w:rPr>
          <w:rFonts w:eastAsia="Calibri"/>
          <w:sz w:val="28"/>
          <w:szCs w:val="28"/>
          <w:lang w:eastAsia="en-US"/>
        </w:rPr>
        <w:t>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театральная школа</w:t>
      </w:r>
      <w:proofErr w:type="gramEnd"/>
      <w:r w:rsidR="007B4604">
        <w:rPr>
          <w:rFonts w:eastAsia="Calibri"/>
          <w:sz w:val="28"/>
          <w:szCs w:val="28"/>
          <w:lang w:eastAsia="en-US"/>
        </w:rPr>
        <w:t>», «детская цирковая школа»,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школа художественных ремесел</w:t>
      </w:r>
      <w:r w:rsidR="007B4604">
        <w:rPr>
          <w:rFonts w:eastAsia="Calibri"/>
          <w:sz w:val="28"/>
          <w:szCs w:val="28"/>
          <w:lang w:eastAsia="en-US"/>
        </w:rPr>
        <w:t>»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 (далее - детские школы искусств) характеризует степень </w:t>
      </w:r>
      <w:proofErr w:type="gramStart"/>
      <w:r w:rsidR="00EC5E5D" w:rsidRPr="00F37415">
        <w:rPr>
          <w:rFonts w:eastAsia="Calibri"/>
          <w:sz w:val="28"/>
          <w:szCs w:val="28"/>
          <w:lang w:eastAsia="en-US"/>
        </w:rPr>
        <w:t>внедрения механизма персонифицированного учета дополнительного образования детей</w:t>
      </w:r>
      <w:proofErr w:type="gramEnd"/>
      <w:r w:rsidR="00EC5E5D" w:rsidRPr="00F37415">
        <w:rPr>
          <w:rFonts w:eastAsia="Calibri"/>
          <w:sz w:val="28"/>
          <w:szCs w:val="28"/>
          <w:lang w:eastAsia="en-US"/>
        </w:rPr>
        <w:t>.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Определяется отношением числа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="007B4604">
        <w:rPr>
          <w:rFonts w:eastAsia="Calibri"/>
          <w:sz w:val="28"/>
          <w:szCs w:val="28"/>
          <w:lang w:eastAsia="en-US"/>
        </w:rPr>
        <w:t xml:space="preserve"> </w:t>
      </w:r>
      <w:r w:rsidRPr="00F37415">
        <w:rPr>
          <w:rFonts w:eastAsia="Calibri"/>
          <w:sz w:val="28"/>
          <w:szCs w:val="28"/>
          <w:lang w:eastAsia="en-US"/>
        </w:rPr>
        <w:t>(за исключением обучающих в детских школах искусств).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Рассчитывается по формуле: </w:t>
      </w:r>
      <w:proofErr w:type="spellStart"/>
      <w:r w:rsidRPr="00F37415">
        <w:rPr>
          <w:rFonts w:eastAsia="Calibri"/>
          <w:sz w:val="28"/>
          <w:szCs w:val="28"/>
          <w:lang w:eastAsia="en-US"/>
        </w:rPr>
        <w:t>Спдо</w:t>
      </w:r>
      <w:proofErr w:type="spellEnd"/>
      <w:r w:rsidRPr="00F37415">
        <w:rPr>
          <w:rFonts w:eastAsia="Calibri"/>
          <w:sz w:val="28"/>
          <w:szCs w:val="28"/>
          <w:lang w:eastAsia="en-US"/>
        </w:rPr>
        <w:t>= (</w:t>
      </w:r>
      <w:proofErr w:type="spellStart"/>
      <w:r w:rsidRPr="00F37415">
        <w:rPr>
          <w:rFonts w:eastAsia="Calibri"/>
          <w:sz w:val="28"/>
          <w:szCs w:val="28"/>
          <w:lang w:eastAsia="en-US"/>
        </w:rPr>
        <w:t>Чспдо</w:t>
      </w:r>
      <w:proofErr w:type="spellEnd"/>
      <w:r w:rsidRPr="00F37415">
        <w:rPr>
          <w:rFonts w:eastAsia="Calibri"/>
          <w:sz w:val="28"/>
          <w:szCs w:val="28"/>
          <w:lang w:eastAsia="en-US"/>
        </w:rPr>
        <w:t xml:space="preserve"> / Чобуч5-18)*100%, где: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37415">
        <w:rPr>
          <w:rFonts w:eastAsia="Calibri"/>
          <w:sz w:val="28"/>
          <w:szCs w:val="28"/>
          <w:lang w:eastAsia="en-US"/>
        </w:rPr>
        <w:t>Чспдо</w:t>
      </w:r>
      <w:proofErr w:type="spellEnd"/>
      <w:r w:rsidRPr="00F37415">
        <w:rPr>
          <w:rFonts w:eastAsia="Calibri"/>
          <w:sz w:val="28"/>
          <w:szCs w:val="28"/>
          <w:lang w:eastAsia="en-US"/>
        </w:rPr>
        <w:t xml:space="preserve"> – численность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образования;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 в детских школах искусств) (</w:t>
      </w:r>
      <w:proofErr w:type="spellStart"/>
      <w:r w:rsidRPr="00F37415">
        <w:rPr>
          <w:rFonts w:eastAsia="Calibri"/>
          <w:sz w:val="28"/>
          <w:szCs w:val="28"/>
          <w:lang w:eastAsia="en-US"/>
        </w:rPr>
        <w:t>пообъектный</w:t>
      </w:r>
      <w:proofErr w:type="spellEnd"/>
      <w:r w:rsidRPr="00F37415">
        <w:rPr>
          <w:rFonts w:eastAsia="Calibri"/>
          <w:sz w:val="28"/>
          <w:szCs w:val="28"/>
          <w:lang w:eastAsia="en-US"/>
        </w:rPr>
        <w:t xml:space="preserve"> мониторинг)</w:t>
      </w:r>
      <w:proofErr w:type="gramStart"/>
      <w:r w:rsidRPr="00F37415">
        <w:rPr>
          <w:rFonts w:eastAsia="Calibri"/>
          <w:sz w:val="28"/>
          <w:szCs w:val="28"/>
          <w:lang w:eastAsia="en-US"/>
        </w:rPr>
        <w:t>.</w:t>
      </w:r>
      <w:r w:rsidR="00DE6F0E" w:rsidRPr="00F37415">
        <w:rPr>
          <w:rFonts w:eastAsia="Calibri"/>
          <w:sz w:val="28"/>
          <w:szCs w:val="28"/>
          <w:lang w:eastAsia="en-US"/>
        </w:rPr>
        <w:t>»</w:t>
      </w:r>
      <w:proofErr w:type="gramEnd"/>
      <w:r w:rsidR="00DE6F0E" w:rsidRPr="00F37415">
        <w:rPr>
          <w:rFonts w:eastAsia="Calibri"/>
          <w:sz w:val="28"/>
          <w:szCs w:val="28"/>
          <w:lang w:eastAsia="en-US"/>
        </w:rPr>
        <w:t xml:space="preserve"> </w:t>
      </w:r>
    </w:p>
    <w:p w:rsidR="00EC5E5D" w:rsidRPr="00F37415" w:rsidRDefault="00EC5E5D" w:rsidP="006F587A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Подраздел «Индикаторы (показатели) муниципальной программы» раздела 1 «Паспорт» дополнить пунктом 9 следующего содержания: </w:t>
      </w:r>
      <w:r w:rsidR="00F37415">
        <w:rPr>
          <w:rFonts w:eastAsia="Calibri"/>
          <w:sz w:val="28"/>
          <w:szCs w:val="28"/>
          <w:lang w:eastAsia="en-US"/>
        </w:rPr>
        <w:t>«</w:t>
      </w:r>
      <w:r w:rsidRPr="00F37415">
        <w:rPr>
          <w:rFonts w:eastAsia="Calibri"/>
          <w:sz w:val="28"/>
          <w:szCs w:val="28"/>
          <w:lang w:eastAsia="en-US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F37415">
        <w:rPr>
          <w:rFonts w:eastAsia="Calibri"/>
          <w:sz w:val="28"/>
          <w:szCs w:val="28"/>
          <w:lang w:eastAsia="en-US"/>
        </w:rPr>
        <w:t>,</w:t>
      </w:r>
      <w:r w:rsidR="006F587A" w:rsidRPr="00F37415">
        <w:rPr>
          <w:rFonts w:eastAsia="Calibri"/>
          <w:sz w:val="28"/>
          <w:szCs w:val="28"/>
          <w:lang w:eastAsia="en-US"/>
        </w:rPr>
        <w:t xml:space="preserve"> </w:t>
      </w:r>
      <w:r w:rsidR="006F587A" w:rsidRPr="00F37415">
        <w:rPr>
          <w:rFonts w:eastAsia="Calibri"/>
          <w:sz w:val="28"/>
          <w:szCs w:val="28"/>
          <w:lang w:eastAsia="en-US"/>
        </w:rPr>
        <w:lastRenderedPageBreak/>
        <w:t>х</w:t>
      </w:r>
      <w:r w:rsidRPr="00F37415">
        <w:rPr>
          <w:rFonts w:eastAsia="Calibri"/>
          <w:sz w:val="28"/>
          <w:szCs w:val="28"/>
          <w:lang w:eastAsia="en-US"/>
        </w:rPr>
        <w:t>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Определяется отношением числа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 в возрасте от 5 до 18 лет, проживающих на территории муниципалитета.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Рассчитывается по формуле: </w:t>
      </w:r>
      <w:proofErr w:type="spellStart"/>
      <w:r w:rsidRPr="00F37415">
        <w:rPr>
          <w:rFonts w:eastAsia="Calibri"/>
          <w:sz w:val="28"/>
          <w:szCs w:val="28"/>
          <w:lang w:eastAsia="en-US"/>
        </w:rPr>
        <w:t>Спф</w:t>
      </w:r>
      <w:proofErr w:type="spellEnd"/>
      <w:r w:rsidRPr="00F37415">
        <w:rPr>
          <w:rFonts w:eastAsia="Calibri"/>
          <w:sz w:val="28"/>
          <w:szCs w:val="28"/>
          <w:lang w:eastAsia="en-US"/>
        </w:rPr>
        <w:t>= (</w:t>
      </w:r>
      <w:proofErr w:type="spellStart"/>
      <w:r w:rsidRPr="00F37415">
        <w:rPr>
          <w:rFonts w:eastAsia="Calibri"/>
          <w:sz w:val="28"/>
          <w:szCs w:val="28"/>
          <w:lang w:eastAsia="en-US"/>
        </w:rPr>
        <w:t>Чдспф</w:t>
      </w:r>
      <w:proofErr w:type="spellEnd"/>
      <w:r w:rsidRPr="00F37415">
        <w:rPr>
          <w:rFonts w:eastAsia="Calibri"/>
          <w:sz w:val="28"/>
          <w:szCs w:val="28"/>
          <w:lang w:eastAsia="en-US"/>
        </w:rPr>
        <w:t xml:space="preserve"> / Ч5-18)*100%, где: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37415">
        <w:rPr>
          <w:rFonts w:eastAsia="Calibri"/>
          <w:sz w:val="28"/>
          <w:szCs w:val="28"/>
          <w:lang w:eastAsia="en-US"/>
        </w:rPr>
        <w:t>Чдспф</w:t>
      </w:r>
      <w:proofErr w:type="spellEnd"/>
      <w:r w:rsidRPr="00F37415">
        <w:rPr>
          <w:rFonts w:eastAsia="Calibri"/>
          <w:sz w:val="28"/>
          <w:szCs w:val="28"/>
          <w:lang w:eastAsia="en-US"/>
        </w:rPr>
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</w:p>
    <w:p w:rsidR="003D63A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Ч5-18 - численность детей в возрасте от 5 до 18 лет, проживающих на территории муниципалитета</w:t>
      </w:r>
      <w:proofErr w:type="gramStart"/>
      <w:r w:rsidRPr="00F37415">
        <w:rPr>
          <w:rFonts w:eastAsia="Calibri"/>
          <w:sz w:val="28"/>
          <w:szCs w:val="28"/>
          <w:lang w:eastAsia="en-US"/>
        </w:rPr>
        <w:t>.</w:t>
      </w:r>
      <w:r w:rsidR="00F37415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683AC7" w:rsidRPr="00AC33BC" w:rsidRDefault="00DE6F0E" w:rsidP="00683AC7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Раздел 2 «Общая характеристика сферы реализации муниципальной программы, в том числе основных проблем в указанной сфере и прогноз её развития» </w:t>
      </w:r>
      <w:r w:rsidR="00B45C5F" w:rsidRPr="00F37415">
        <w:rPr>
          <w:rFonts w:eastAsia="Calibri"/>
          <w:sz w:val="28"/>
          <w:szCs w:val="28"/>
          <w:lang w:eastAsia="en-US"/>
        </w:rPr>
        <w:t xml:space="preserve">изложить в новой редакции:  </w:t>
      </w:r>
      <w:r w:rsidRPr="00F37415">
        <w:rPr>
          <w:rFonts w:eastAsia="Calibri"/>
          <w:sz w:val="28"/>
          <w:szCs w:val="28"/>
          <w:lang w:eastAsia="en-US"/>
        </w:rPr>
        <w:t>«</w:t>
      </w:r>
      <w:r w:rsidR="00683AC7" w:rsidRPr="00F37415">
        <w:rPr>
          <w:rFonts w:eastAsia="Calibri"/>
          <w:sz w:val="28"/>
          <w:szCs w:val="28"/>
          <w:lang w:eastAsia="en-US"/>
        </w:rPr>
        <w:t>Программа</w:t>
      </w:r>
      <w:r w:rsidR="00683AC7" w:rsidRPr="00AC33BC">
        <w:rPr>
          <w:rFonts w:eastAsia="Calibri"/>
          <w:sz w:val="28"/>
          <w:szCs w:val="28"/>
          <w:lang w:eastAsia="en-US"/>
        </w:rPr>
        <w:t xml:space="preserve"> является организационной основой политики Анучинского муниципального округа в сфере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Программа разработана на основе анализа современного состояния муниципальной системы образования Анучинского муниципального округа в соответствии с приоритетными направлениями развития системы образования Российской Федерации.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Программа разработана в соответствии со стратегическими документами развития системы образования: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Государственная программа Российской Федерации «Развитие образования», утвержденная постановлением Правительства Российской Федерации от 22.12.2017 № 1642</w:t>
      </w:r>
      <w:r w:rsidR="00F415DB">
        <w:rPr>
          <w:rFonts w:eastAsia="Calibri"/>
          <w:sz w:val="28"/>
          <w:szCs w:val="28"/>
          <w:lang w:eastAsia="en-US"/>
        </w:rPr>
        <w:t>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Система образования округа представляет собой разные виды образовательных организаций и форм их организации, что позволяет удовлетворять различные образовательные и воспитательные потребности </w:t>
      </w:r>
      <w:r w:rsidRPr="00AC33BC">
        <w:rPr>
          <w:rFonts w:eastAsia="Calibri"/>
          <w:sz w:val="28"/>
          <w:szCs w:val="28"/>
          <w:lang w:eastAsia="en-US"/>
        </w:rPr>
        <w:lastRenderedPageBreak/>
        <w:t>детей и подростков, возрастающие запросы родителей (законных представителей) и общественности.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настоящее время в Анучинском муниципальном округе функционирует 7 организаций дошкольного образования, 2 дошкольные группы при школах, 4 общеобразовательные организации и 5 филиалов, </w:t>
      </w:r>
      <w:r w:rsidR="00B45C5F" w:rsidRPr="00AC33BC">
        <w:rPr>
          <w:rFonts w:eastAsia="Calibri"/>
          <w:sz w:val="28"/>
          <w:szCs w:val="28"/>
          <w:lang w:eastAsia="en-US"/>
        </w:rPr>
        <w:t>1</w:t>
      </w:r>
      <w:r w:rsidRPr="00AC33BC">
        <w:rPr>
          <w:rFonts w:eastAsia="Calibri"/>
          <w:sz w:val="28"/>
          <w:szCs w:val="28"/>
          <w:lang w:eastAsia="en-US"/>
        </w:rPr>
        <w:t xml:space="preserve"> организаци</w:t>
      </w:r>
      <w:r w:rsidR="00B45C5F" w:rsidRPr="00AC33BC">
        <w:rPr>
          <w:rFonts w:eastAsia="Calibri"/>
          <w:sz w:val="28"/>
          <w:szCs w:val="28"/>
          <w:lang w:eastAsia="en-US"/>
        </w:rPr>
        <w:t>я</w:t>
      </w:r>
      <w:r w:rsidRPr="00AC33BC">
        <w:rPr>
          <w:rFonts w:eastAsia="Calibri"/>
          <w:sz w:val="28"/>
          <w:szCs w:val="28"/>
          <w:lang w:eastAsia="en-US"/>
        </w:rPr>
        <w:t xml:space="preserve"> дополнительного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Главными для дошкольной образовательной системы являются вопросы сохранения, развития имеющейся сети дошкольных учреждений, обеспечения реальной доступности дошкольных образовательных услуг для всех слоев населения.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Общая численность детей дошкольного возраста от 1 года до 7 лет по району составляет </w:t>
      </w:r>
      <w:r w:rsidR="00B45C5F" w:rsidRPr="00AC33BC">
        <w:rPr>
          <w:rFonts w:eastAsia="Calibri"/>
          <w:sz w:val="28"/>
          <w:szCs w:val="28"/>
          <w:lang w:eastAsia="en-US"/>
        </w:rPr>
        <w:t>888</w:t>
      </w:r>
      <w:r w:rsidRPr="00AC33BC">
        <w:rPr>
          <w:rFonts w:eastAsia="Calibri"/>
          <w:sz w:val="28"/>
          <w:szCs w:val="28"/>
          <w:lang w:eastAsia="en-US"/>
        </w:rPr>
        <w:t xml:space="preserve"> детей. </w:t>
      </w:r>
      <w:proofErr w:type="gramStart"/>
      <w:r w:rsidRPr="00AC33BC">
        <w:rPr>
          <w:rFonts w:eastAsia="Calibri"/>
          <w:sz w:val="28"/>
          <w:szCs w:val="28"/>
          <w:lang w:eastAsia="en-US"/>
        </w:rPr>
        <w:t xml:space="preserve">В среднем </w:t>
      </w:r>
      <w:r w:rsidR="00B45C5F" w:rsidRPr="00AC33BC">
        <w:rPr>
          <w:rFonts w:eastAsia="Calibri"/>
          <w:sz w:val="28"/>
          <w:szCs w:val="28"/>
          <w:lang w:eastAsia="en-US"/>
        </w:rPr>
        <w:t>430</w:t>
      </w:r>
      <w:r w:rsidRPr="00AC33BC">
        <w:rPr>
          <w:rFonts w:eastAsia="Calibri"/>
          <w:sz w:val="28"/>
          <w:szCs w:val="28"/>
          <w:lang w:eastAsia="en-US"/>
        </w:rPr>
        <w:t xml:space="preserve">  детей в возрасте от 1 до 7 лет охвачены услуга</w:t>
      </w:r>
      <w:r w:rsidR="00B45C5F" w:rsidRPr="00AC33BC">
        <w:rPr>
          <w:rFonts w:eastAsia="Calibri"/>
          <w:sz w:val="28"/>
          <w:szCs w:val="28"/>
          <w:lang w:eastAsia="en-US"/>
        </w:rPr>
        <w:t>ми дошкольного образования</w:t>
      </w:r>
      <w:r w:rsidRPr="00AC33BC">
        <w:rPr>
          <w:rFonts w:eastAsia="Calibri"/>
          <w:sz w:val="28"/>
          <w:szCs w:val="28"/>
          <w:lang w:eastAsia="en-US"/>
        </w:rPr>
        <w:t>.</w:t>
      </w:r>
      <w:proofErr w:type="gramEnd"/>
      <w:r w:rsidRPr="00AC33BC">
        <w:rPr>
          <w:rFonts w:eastAsia="Calibri"/>
          <w:sz w:val="28"/>
          <w:szCs w:val="28"/>
          <w:lang w:eastAsia="en-US"/>
        </w:rPr>
        <w:t xml:space="preserve"> В общеобразовательных организациях обучаются 14</w:t>
      </w:r>
      <w:r w:rsidR="00B45C5F" w:rsidRPr="00AC33BC">
        <w:rPr>
          <w:rFonts w:eastAsia="Calibri"/>
          <w:sz w:val="28"/>
          <w:szCs w:val="28"/>
          <w:lang w:eastAsia="en-US"/>
        </w:rPr>
        <w:t>00</w:t>
      </w:r>
      <w:r w:rsidRPr="00AC33BC">
        <w:rPr>
          <w:rFonts w:eastAsia="Calibri"/>
          <w:sz w:val="28"/>
          <w:szCs w:val="28"/>
          <w:lang w:eastAsia="en-US"/>
        </w:rPr>
        <w:t xml:space="preserve"> обучающихся.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Главной целевой установкой развития образования Ан</w:t>
      </w:r>
      <w:r w:rsidR="00B45C5F" w:rsidRPr="00AC33BC">
        <w:rPr>
          <w:rFonts w:eastAsia="Calibri"/>
          <w:sz w:val="28"/>
          <w:szCs w:val="28"/>
          <w:lang w:eastAsia="en-US"/>
        </w:rPr>
        <w:t xml:space="preserve">учинского муниципального </w:t>
      </w:r>
      <w:r w:rsidRPr="00AC33BC">
        <w:rPr>
          <w:rFonts w:eastAsia="Calibri"/>
          <w:sz w:val="28"/>
          <w:szCs w:val="28"/>
          <w:lang w:eastAsia="en-US"/>
        </w:rPr>
        <w:t>округа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обучающихся, воспитанников и работников образовательных организаций.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За последние годы произошли качественные изменения в содержании общего образования, значительную часть учебного плана составляет время, отведенное на предметы  школьной компетенции.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Проводятся школьные, </w:t>
      </w:r>
      <w:r w:rsidR="00B45C5F" w:rsidRPr="00AC33BC">
        <w:rPr>
          <w:rFonts w:eastAsia="Calibri"/>
          <w:sz w:val="28"/>
          <w:szCs w:val="28"/>
          <w:lang w:eastAsia="en-US"/>
        </w:rPr>
        <w:t>окружные</w:t>
      </w:r>
      <w:r w:rsidRPr="00AC33BC">
        <w:rPr>
          <w:rFonts w:eastAsia="Calibri"/>
          <w:sz w:val="28"/>
          <w:szCs w:val="28"/>
          <w:lang w:eastAsia="en-US"/>
        </w:rPr>
        <w:t xml:space="preserve"> конкурсы научно-исследовательских и творческих работ учащихся, в деятельности которых ежегодно принимают</w:t>
      </w:r>
      <w:r w:rsidR="00F415DB">
        <w:rPr>
          <w:rFonts w:eastAsia="Calibri"/>
          <w:sz w:val="28"/>
          <w:szCs w:val="28"/>
          <w:lang w:eastAsia="en-US"/>
        </w:rPr>
        <w:t xml:space="preserve"> </w:t>
      </w:r>
      <w:r w:rsidRPr="00AC33BC">
        <w:rPr>
          <w:rFonts w:eastAsia="Calibri"/>
          <w:sz w:val="28"/>
          <w:szCs w:val="28"/>
          <w:lang w:eastAsia="en-US"/>
        </w:rPr>
        <w:t xml:space="preserve">участие более 300 учащихся. В </w:t>
      </w:r>
      <w:r w:rsidR="00B45C5F" w:rsidRPr="00AC33BC">
        <w:rPr>
          <w:rFonts w:eastAsia="Calibri"/>
          <w:sz w:val="28"/>
          <w:szCs w:val="28"/>
          <w:lang w:eastAsia="en-US"/>
        </w:rPr>
        <w:t>округе</w:t>
      </w:r>
      <w:r w:rsidRPr="00AC33BC">
        <w:rPr>
          <w:rFonts w:eastAsia="Calibri"/>
          <w:sz w:val="28"/>
          <w:szCs w:val="28"/>
          <w:lang w:eastAsia="en-US"/>
        </w:rPr>
        <w:t xml:space="preserve"> организована муниципальная система выявления, сопровождения и поддержки одаренных (талантливых) детей.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 xml:space="preserve">Важным направлением деятельности стало создание современных условий обучения для детей в общеобразовательных организациях </w:t>
      </w:r>
      <w:r w:rsidR="00B45C5F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>, внедрение новых принципов организации учебного процесса, в том числе, с использованием информационных и коммуникационных технологий. Все общеобразовательные организации округа имеют доступ к информационным образовательным ресурсам Интернет.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Дальнейшее развитие получило содействие в сохранении и укреплении здоровья школьников в сфере общего школьного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округе функционирует 7 школьных столовых и 2 буфета, в которых получают горячее питание (завтрак) учащиеся 1-4 классов </w:t>
      </w:r>
      <w:r w:rsidR="00B45C5F" w:rsidRPr="00AC33BC">
        <w:rPr>
          <w:rFonts w:eastAsia="Calibri"/>
          <w:sz w:val="28"/>
          <w:szCs w:val="28"/>
          <w:lang w:eastAsia="en-US"/>
        </w:rPr>
        <w:t>и</w:t>
      </w:r>
      <w:r w:rsidRPr="00AC33BC">
        <w:rPr>
          <w:rFonts w:eastAsia="Calibri"/>
          <w:sz w:val="28"/>
          <w:szCs w:val="28"/>
          <w:lang w:eastAsia="en-US"/>
        </w:rPr>
        <w:t xml:space="preserve"> 5-11 класс</w:t>
      </w:r>
      <w:r w:rsidR="00B45C5F" w:rsidRPr="00AC33BC">
        <w:rPr>
          <w:rFonts w:eastAsia="Calibri"/>
          <w:sz w:val="28"/>
          <w:szCs w:val="28"/>
          <w:lang w:eastAsia="en-US"/>
        </w:rPr>
        <w:t>ов</w:t>
      </w:r>
      <w:r w:rsidRPr="00AC33BC">
        <w:rPr>
          <w:rFonts w:eastAsia="Calibri"/>
          <w:sz w:val="28"/>
          <w:szCs w:val="28"/>
          <w:lang w:eastAsia="en-US"/>
        </w:rPr>
        <w:t>. Средства субвенции на питание выделяются из краевого бюджета.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Совершенствование организации питания обучающихся в общеобразовательных организациях </w:t>
      </w:r>
      <w:r w:rsidR="00B45C5F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>, предусматривающего внедрение современного технологического оборудования для приготовления и доставки пищевых продуктов, позволило увеличить охват обучающихся горячим питанием до 95 %.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Дополнительное образование детей в  Анучинском муниципальном округе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683AC7" w:rsidRPr="00AC33BC" w:rsidRDefault="009C29BB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Программы дополнительного образования реализуются в одном учреждении дополнительного образования (детско-юношеская спортивная школа), в общеобразовательных и дошкольных образовательных учреждениях.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3BC">
        <w:rPr>
          <w:rFonts w:eastAsia="Calibri"/>
          <w:sz w:val="28"/>
          <w:szCs w:val="28"/>
          <w:lang w:eastAsia="en-US"/>
        </w:rPr>
        <w:t>Учреждения дополнительного образования реализуют программы, учитыв</w:t>
      </w:r>
      <w:r w:rsidR="009C29BB" w:rsidRPr="00AC33BC">
        <w:rPr>
          <w:rFonts w:eastAsia="Calibri"/>
          <w:sz w:val="28"/>
          <w:szCs w:val="28"/>
          <w:lang w:eastAsia="en-US"/>
        </w:rPr>
        <w:t>ая потребности и интересы детей, по следующим направлениям</w:t>
      </w:r>
      <w:r w:rsidRPr="00AC33BC">
        <w:rPr>
          <w:rFonts w:eastAsia="Calibri"/>
          <w:sz w:val="28"/>
          <w:szCs w:val="28"/>
          <w:lang w:eastAsia="en-US"/>
        </w:rPr>
        <w:t xml:space="preserve">: техническое, естественнонаучное, </w:t>
      </w:r>
      <w:r w:rsidR="007C3562" w:rsidRPr="00AC33BC">
        <w:rPr>
          <w:rFonts w:eastAsia="Calibri"/>
          <w:sz w:val="28"/>
          <w:szCs w:val="28"/>
          <w:lang w:eastAsia="en-US"/>
        </w:rPr>
        <w:t>физкультурно-спортивное,</w:t>
      </w:r>
      <w:r w:rsidRPr="00AC33BC">
        <w:rPr>
          <w:rFonts w:eastAsia="Calibri"/>
          <w:sz w:val="28"/>
          <w:szCs w:val="28"/>
          <w:lang w:eastAsia="en-US"/>
        </w:rPr>
        <w:t xml:space="preserve"> художественно</w:t>
      </w:r>
      <w:r w:rsidR="007C3562" w:rsidRPr="00AC33BC">
        <w:rPr>
          <w:rFonts w:eastAsia="Calibri"/>
          <w:sz w:val="28"/>
          <w:szCs w:val="28"/>
          <w:lang w:eastAsia="en-US"/>
        </w:rPr>
        <w:t>е</w:t>
      </w:r>
      <w:r w:rsidRPr="00AC33BC">
        <w:rPr>
          <w:rFonts w:eastAsia="Calibri"/>
          <w:sz w:val="28"/>
          <w:szCs w:val="28"/>
          <w:lang w:eastAsia="en-US"/>
        </w:rPr>
        <w:t>, тури</w:t>
      </w:r>
      <w:r w:rsidR="007C3562" w:rsidRPr="00AC33BC">
        <w:rPr>
          <w:rFonts w:eastAsia="Calibri"/>
          <w:sz w:val="28"/>
          <w:szCs w:val="28"/>
          <w:lang w:eastAsia="en-US"/>
        </w:rPr>
        <w:t>стско-краеведческое, социально-гуманитарно</w:t>
      </w:r>
      <w:r w:rsidRPr="00AC33BC">
        <w:rPr>
          <w:rFonts w:eastAsia="Calibri"/>
          <w:sz w:val="28"/>
          <w:szCs w:val="28"/>
          <w:lang w:eastAsia="en-US"/>
        </w:rPr>
        <w:t>е.</w:t>
      </w:r>
      <w:proofErr w:type="gramEnd"/>
    </w:p>
    <w:p w:rsidR="007C3562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Интеграция общего и дополнительного образования является одним из условий выявления и поддержки талантливых детей, создания для них общей развивающей образовательной среды, индивидуальных образовательных </w:t>
      </w:r>
      <w:r w:rsidRPr="00AC33BC">
        <w:rPr>
          <w:rFonts w:eastAsia="Calibri"/>
          <w:sz w:val="28"/>
          <w:szCs w:val="28"/>
          <w:lang w:eastAsia="en-US"/>
        </w:rPr>
        <w:lastRenderedPageBreak/>
        <w:t>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</w:t>
      </w:r>
    </w:p>
    <w:p w:rsidR="00683AC7" w:rsidRPr="00AC33BC" w:rsidRDefault="007C3562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7415">
        <w:rPr>
          <w:rFonts w:eastAsia="Calibri"/>
          <w:sz w:val="28"/>
          <w:szCs w:val="28"/>
          <w:lang w:eastAsia="en-US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</w:t>
      </w:r>
      <w:proofErr w:type="gramEnd"/>
      <w:r w:rsidRPr="00F374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37415">
        <w:rPr>
          <w:rFonts w:eastAsia="Calibri"/>
          <w:sz w:val="28"/>
          <w:szCs w:val="28"/>
          <w:lang w:eastAsia="en-US"/>
        </w:rPr>
        <w:t xml:space="preserve">01.06.2012 №761, Приказом </w:t>
      </w:r>
      <w:proofErr w:type="spellStart"/>
      <w:r w:rsidRPr="00F37415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F37415">
        <w:rPr>
          <w:rFonts w:eastAsia="Calibri"/>
          <w:sz w:val="28"/>
          <w:szCs w:val="28"/>
          <w:lang w:eastAsia="en-US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r w:rsidR="00990471" w:rsidRPr="00F37415">
        <w:rPr>
          <w:rFonts w:eastAsia="Calibri"/>
          <w:sz w:val="28"/>
          <w:szCs w:val="28"/>
          <w:lang w:eastAsia="en-US"/>
        </w:rPr>
        <w:t>Анучинском муниципальном округе</w:t>
      </w:r>
      <w:r w:rsidRPr="00F37415">
        <w:rPr>
          <w:rFonts w:eastAsia="Calibri"/>
          <w:sz w:val="28"/>
          <w:szCs w:val="28"/>
          <w:lang w:eastAsia="en-US"/>
        </w:rPr>
        <w:t xml:space="preserve">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</w:t>
      </w:r>
      <w:proofErr w:type="gramEnd"/>
      <w:r w:rsidRPr="00F37415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37415">
        <w:rPr>
          <w:rFonts w:eastAsia="Calibri"/>
          <w:sz w:val="28"/>
          <w:szCs w:val="28"/>
          <w:lang w:eastAsia="en-US"/>
        </w:rPr>
        <w:t>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</w:t>
      </w:r>
      <w:proofErr w:type="gramEnd"/>
      <w:r w:rsidRPr="00F37415">
        <w:rPr>
          <w:rFonts w:eastAsia="Calibri"/>
          <w:sz w:val="28"/>
          <w:szCs w:val="28"/>
          <w:lang w:eastAsia="en-US"/>
        </w:rPr>
        <w:t xml:space="preserve"> финансирования дополнительного образования </w:t>
      </w:r>
      <w:r w:rsidRPr="00F37415">
        <w:rPr>
          <w:rFonts w:eastAsia="Calibri"/>
          <w:sz w:val="28"/>
          <w:szCs w:val="28"/>
          <w:lang w:eastAsia="en-US"/>
        </w:rPr>
        <w:lastRenderedPageBreak/>
        <w:t>детей. Реализуемый финансово-</w:t>
      </w:r>
      <w:proofErr w:type="gramStart"/>
      <w:r w:rsidRPr="00F37415">
        <w:rPr>
          <w:rFonts w:eastAsia="Calibri"/>
          <w:sz w:val="28"/>
          <w:szCs w:val="28"/>
          <w:lang w:eastAsia="en-US"/>
        </w:rPr>
        <w:t>экономический механизм</w:t>
      </w:r>
      <w:proofErr w:type="gramEnd"/>
      <w:r w:rsidRPr="00F37415">
        <w:rPr>
          <w:rFonts w:eastAsia="Calibri"/>
          <w:sz w:val="28"/>
          <w:szCs w:val="28"/>
          <w:lang w:eastAsia="en-US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  <w:proofErr w:type="gramStart"/>
      <w:r w:rsidRPr="00F37415">
        <w:rPr>
          <w:rFonts w:eastAsia="Calibri"/>
          <w:sz w:val="28"/>
          <w:szCs w:val="28"/>
          <w:lang w:eastAsia="en-US"/>
        </w:rPr>
        <w:t xml:space="preserve">С целью обеспечения использования социальных сертификатов на получение муниципальных услуг в социальной сфере </w:t>
      </w:r>
      <w:r w:rsidR="007B4604">
        <w:rPr>
          <w:rFonts w:eastAsia="Calibri"/>
          <w:sz w:val="28"/>
          <w:szCs w:val="28"/>
          <w:lang w:eastAsia="en-US"/>
        </w:rPr>
        <w:t>казенное учреждение «</w:t>
      </w:r>
      <w:r w:rsidR="00990471" w:rsidRPr="00F37415">
        <w:rPr>
          <w:rFonts w:eastAsia="Calibri"/>
          <w:sz w:val="28"/>
          <w:szCs w:val="28"/>
          <w:lang w:eastAsia="en-US"/>
        </w:rPr>
        <w:t>Муниципальный орган управления образованием Анучинского муниципального округа Приморского края»</w:t>
      </w:r>
      <w:r w:rsidR="00184290" w:rsidRPr="00F37415">
        <w:rPr>
          <w:rFonts w:eastAsia="Calibri"/>
          <w:sz w:val="28"/>
          <w:szCs w:val="28"/>
          <w:lang w:eastAsia="en-US"/>
        </w:rPr>
        <w:t xml:space="preserve"> (КУ МОУО)</w:t>
      </w:r>
      <w:r w:rsidRPr="00F37415">
        <w:rPr>
          <w:rFonts w:eastAsia="Calibri"/>
          <w:sz w:val="28"/>
          <w:szCs w:val="28"/>
          <w:lang w:eastAsia="en-US"/>
        </w:rPr>
        <w:t xml:space="preserve">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</w:t>
      </w:r>
      <w:r w:rsidR="00990471" w:rsidRPr="00F37415">
        <w:rPr>
          <w:rFonts w:eastAsia="Calibri"/>
          <w:sz w:val="28"/>
          <w:szCs w:val="28"/>
          <w:lang w:eastAsia="en-US"/>
        </w:rPr>
        <w:t>нительного образования детей в Анучинском муниципальном округе</w:t>
      </w:r>
      <w:r w:rsidRPr="00F37415">
        <w:rPr>
          <w:rFonts w:eastAsia="Calibri"/>
          <w:sz w:val="28"/>
          <w:szCs w:val="28"/>
          <w:lang w:eastAsia="en-US"/>
        </w:rPr>
        <w:t>.</w:t>
      </w:r>
      <w:r w:rsidR="00683AC7" w:rsidRPr="00AC33BC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C29BB" w:rsidRPr="00AC33BC" w:rsidRDefault="009C29BB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муниципальной системе образования сложилась основа для развития детского движения. Наблюдается качественное ул</w:t>
      </w:r>
      <w:r w:rsidR="007C3562" w:rsidRPr="00AC33BC">
        <w:rPr>
          <w:rFonts w:eastAsia="Calibri"/>
          <w:sz w:val="28"/>
          <w:szCs w:val="28"/>
          <w:lang w:eastAsia="en-US"/>
        </w:rPr>
        <w:t xml:space="preserve">учшение содержания мероприятий </w:t>
      </w:r>
      <w:r w:rsidRPr="00AC33BC">
        <w:rPr>
          <w:rFonts w:eastAsia="Calibri"/>
          <w:sz w:val="28"/>
          <w:szCs w:val="28"/>
          <w:lang w:eastAsia="en-US"/>
        </w:rPr>
        <w:t>военно-патриотического направления.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Большое внимание муниципальными образовательными учреждениями округа уделяется работе по пропаганде культуры толерантности, семейному, духовно-нравственному воспитанию детей и подростков.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образовательных учреждениях Анучинского муниципального округа работа</w:t>
      </w:r>
      <w:r w:rsidR="00394037" w:rsidRPr="00AC33BC">
        <w:rPr>
          <w:rFonts w:eastAsia="Calibri"/>
          <w:sz w:val="28"/>
          <w:szCs w:val="28"/>
          <w:lang w:eastAsia="en-US"/>
        </w:rPr>
        <w:t>ю</w:t>
      </w:r>
      <w:r w:rsidRPr="00AC33BC">
        <w:rPr>
          <w:rFonts w:eastAsia="Calibri"/>
          <w:sz w:val="28"/>
          <w:szCs w:val="28"/>
          <w:lang w:eastAsia="en-US"/>
        </w:rPr>
        <w:t>т</w:t>
      </w:r>
      <w:r w:rsidR="00394037" w:rsidRPr="00AC33BC">
        <w:rPr>
          <w:rFonts w:eastAsia="Calibri"/>
          <w:sz w:val="28"/>
          <w:szCs w:val="28"/>
          <w:lang w:eastAsia="en-US"/>
        </w:rPr>
        <w:t xml:space="preserve"> квалифицированные</w:t>
      </w:r>
      <w:r w:rsidRPr="00AC33BC">
        <w:rPr>
          <w:rFonts w:eastAsia="Calibri"/>
          <w:sz w:val="28"/>
          <w:szCs w:val="28"/>
          <w:lang w:eastAsia="en-US"/>
        </w:rPr>
        <w:t xml:space="preserve"> педагогически</w:t>
      </w:r>
      <w:r w:rsidR="00394037" w:rsidRPr="00AC33BC">
        <w:rPr>
          <w:rFonts w:eastAsia="Calibri"/>
          <w:sz w:val="28"/>
          <w:szCs w:val="28"/>
          <w:lang w:eastAsia="en-US"/>
        </w:rPr>
        <w:t>е</w:t>
      </w:r>
      <w:r w:rsidRPr="00AC33BC">
        <w:rPr>
          <w:rFonts w:eastAsia="Calibri"/>
          <w:sz w:val="28"/>
          <w:szCs w:val="28"/>
          <w:lang w:eastAsia="en-US"/>
        </w:rPr>
        <w:t xml:space="preserve"> работник</w:t>
      </w:r>
      <w:r w:rsidR="00394037" w:rsidRPr="00AC33BC">
        <w:rPr>
          <w:rFonts w:eastAsia="Calibri"/>
          <w:sz w:val="28"/>
          <w:szCs w:val="28"/>
          <w:lang w:eastAsia="en-US"/>
        </w:rPr>
        <w:t>и, имеющие соответствующее профессиональное образование</w:t>
      </w:r>
      <w:r w:rsidRPr="00AC33BC">
        <w:rPr>
          <w:rFonts w:eastAsia="Calibri"/>
          <w:sz w:val="28"/>
          <w:szCs w:val="28"/>
          <w:lang w:eastAsia="en-US"/>
        </w:rPr>
        <w:t xml:space="preserve">. </w:t>
      </w:r>
      <w:r w:rsidR="00394037" w:rsidRPr="00AC33BC">
        <w:rPr>
          <w:rFonts w:eastAsia="Calibri"/>
          <w:sz w:val="28"/>
          <w:szCs w:val="28"/>
          <w:lang w:eastAsia="en-US"/>
        </w:rPr>
        <w:t>Педагоги регулярно проходят курсы повышения квалификации.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Предусмотрена конкретная система мероприятий по обновлению и совершенствованию образовательного процесса в условиях </w:t>
      </w:r>
      <w:proofErr w:type="spellStart"/>
      <w:r w:rsidRPr="00AC33BC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Pr="00AC33BC">
        <w:rPr>
          <w:rFonts w:eastAsia="Calibri"/>
          <w:sz w:val="28"/>
          <w:szCs w:val="28"/>
          <w:lang w:eastAsia="en-US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соответствие зданий нормативам </w:t>
      </w:r>
      <w:proofErr w:type="spellStart"/>
      <w:r w:rsidRPr="00AC33BC">
        <w:rPr>
          <w:rFonts w:eastAsia="Calibri"/>
          <w:sz w:val="28"/>
          <w:szCs w:val="28"/>
          <w:lang w:eastAsia="en-US"/>
        </w:rPr>
        <w:t>СанПИНа</w:t>
      </w:r>
      <w:proofErr w:type="spellEnd"/>
      <w:r w:rsidRPr="00AC33BC">
        <w:rPr>
          <w:rFonts w:eastAsia="Calibri"/>
          <w:sz w:val="28"/>
          <w:szCs w:val="28"/>
          <w:lang w:eastAsia="en-US"/>
        </w:rPr>
        <w:t xml:space="preserve">, пожарной безопасности и </w:t>
      </w:r>
      <w:proofErr w:type="spellStart"/>
      <w:r w:rsidRPr="00AC33BC">
        <w:rPr>
          <w:rFonts w:eastAsia="Calibri"/>
          <w:sz w:val="28"/>
          <w:szCs w:val="28"/>
          <w:lang w:eastAsia="en-US"/>
        </w:rPr>
        <w:t>травмобезопасности</w:t>
      </w:r>
      <w:proofErr w:type="spellEnd"/>
      <w:r w:rsidRPr="00AC33BC">
        <w:rPr>
          <w:rFonts w:eastAsia="Calibri"/>
          <w:sz w:val="28"/>
          <w:szCs w:val="28"/>
          <w:lang w:eastAsia="en-US"/>
        </w:rPr>
        <w:t>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 xml:space="preserve">С целью повышения образовательно - воспитательной мобильности школьников в </w:t>
      </w:r>
      <w:r w:rsidR="00394037" w:rsidRPr="00AC33BC">
        <w:rPr>
          <w:rFonts w:eastAsia="Calibri"/>
          <w:sz w:val="28"/>
          <w:szCs w:val="28"/>
          <w:lang w:eastAsia="en-US"/>
        </w:rPr>
        <w:t>округе</w:t>
      </w:r>
      <w:r w:rsidRPr="00AC33BC">
        <w:rPr>
          <w:rFonts w:eastAsia="Calibri"/>
          <w:sz w:val="28"/>
          <w:szCs w:val="28"/>
          <w:lang w:eastAsia="en-US"/>
        </w:rPr>
        <w:t xml:space="preserve"> 6 общеобразовательных организаций имеют школьные автобусы. Все транспортные средства оборудованы в соответствии с ГОСТ 15150 «Автобусы для перевозки детей. Технические требования» и оснащены системой спутникового мониторинга на основе ГЛОНАСС.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Энергосбережение также является одной из самых серьезных задач. 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 в образовательных учреждениях.  Главными недостатками являются потери тепловой энергии и увеличение расходов на теплоснабжение. 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организаций. Процесс по повышению </w:t>
      </w:r>
      <w:proofErr w:type="spellStart"/>
      <w:r w:rsidRPr="00AC33BC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AC33BC">
        <w:rPr>
          <w:rFonts w:eastAsia="Calibri"/>
          <w:sz w:val="28"/>
          <w:szCs w:val="28"/>
          <w:lang w:eastAsia="en-US"/>
        </w:rPr>
        <w:t xml:space="preserve"> в образовательных учреждениях должен иметь постоянный характер.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рамках обновления и совершенствования материально - технической базы образовательных учреждений реализован комплекс мероприятий по обеспечению условий комплексной безопасности обучающихся и педагогов. 100% образовательных учреждений </w:t>
      </w:r>
      <w:r w:rsidR="00394037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 xml:space="preserve"> оснащены автоматической пожарной сигнализацией.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системе образования Анучинского муниципального  округа сохраняются и негативные тенденции, без решения которых невозможно дальнейшее динамичное развитие: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наблюдается сокращение численности учащихся в образовательных учреждениях округа, это связано с выездом населения за пределы района и демографической ситуацией в целом;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наблюдается тенденция старения педагогических кадров в образовательных учреждениях округа. В школах работает  37 % педагогов пенсионного возраста;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имеется текущая потребность в педагогических кадрах; 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>-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недостаточна динамика привлечения в сферу образования молодых педагогических кадров.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модернизация системы общего образования, включая образование для детей с особыми потребностями;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создание условий для распространения современных моделей успешной социализации детей;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развитие системы дополнительного образования детей; 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повышение эффективности управления системой общего образования через дальнейшее расширение сетевого взаимодействия, укрепление роли базовых школ как ресурсных и социокультурных центров;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совершенствование кадрового потенциала системы образования;            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развитие государственно-общественного управления образованием;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информатизация образования;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совершенствование системы оценки качества образования;                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стимулирование инновационной деятельности, направленной на развитие образования.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DE6F0E" w:rsidRPr="007D02D8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Программа является основным механизмом реализации государственной политики в системе образования и формирования системы образования округа как единого образовательного комплекса. Программа определяет стратегию и основные направления развития муниципальной системы </w:t>
      </w:r>
      <w:r w:rsidRPr="007D02D8">
        <w:rPr>
          <w:rFonts w:eastAsia="Calibri"/>
          <w:sz w:val="28"/>
          <w:szCs w:val="28"/>
          <w:lang w:eastAsia="en-US"/>
        </w:rPr>
        <w:t>образования на 2020 - 2024 годы</w:t>
      </w:r>
      <w:proofErr w:type="gramStart"/>
      <w:r w:rsidRPr="007D02D8">
        <w:rPr>
          <w:rFonts w:eastAsia="Calibri"/>
          <w:sz w:val="28"/>
          <w:szCs w:val="28"/>
          <w:lang w:eastAsia="en-US"/>
        </w:rPr>
        <w:t>.</w:t>
      </w:r>
      <w:r w:rsidR="009E462E" w:rsidRPr="007D02D8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C2176A" w:rsidRPr="007D02D8" w:rsidRDefault="00B53966" w:rsidP="003574E0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rFonts w:eastAsia="Calibri"/>
          <w:sz w:val="28"/>
          <w:szCs w:val="28"/>
          <w:lang w:eastAsia="en-US"/>
        </w:rPr>
        <w:lastRenderedPageBreak/>
        <w:t>В</w:t>
      </w:r>
      <w:r w:rsidR="00C2176A" w:rsidRPr="007D02D8">
        <w:rPr>
          <w:rFonts w:eastAsia="Calibri"/>
          <w:sz w:val="28"/>
          <w:szCs w:val="28"/>
          <w:lang w:eastAsia="en-US"/>
        </w:rPr>
        <w:t>нести в</w:t>
      </w:r>
      <w:r w:rsidRPr="007D02D8">
        <w:rPr>
          <w:rFonts w:eastAsia="Calibri"/>
          <w:sz w:val="28"/>
          <w:szCs w:val="28"/>
          <w:lang w:eastAsia="en-US"/>
        </w:rPr>
        <w:t xml:space="preserve"> подраздел «Ожидаемый результат (краткое описание)» подпрограммы 3 «Дополнительное образование и воспитание детей»</w:t>
      </w:r>
      <w:r w:rsidR="00C2176A" w:rsidRPr="007D02D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C2176A" w:rsidRPr="007D02D8" w:rsidRDefault="00B53966" w:rsidP="00C2176A">
      <w:pPr>
        <w:pStyle w:val="a7"/>
        <w:numPr>
          <w:ilvl w:val="2"/>
          <w:numId w:val="5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02D8">
        <w:rPr>
          <w:rFonts w:eastAsia="Calibri"/>
          <w:sz w:val="28"/>
          <w:szCs w:val="28"/>
          <w:lang w:eastAsia="en-US"/>
        </w:rPr>
        <w:t>абзац: «- достижение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не менее 2 %» изложить в новой редакции</w:t>
      </w:r>
      <w:r w:rsidR="003574E0" w:rsidRPr="007D02D8">
        <w:rPr>
          <w:rFonts w:eastAsia="Calibri"/>
          <w:sz w:val="28"/>
          <w:szCs w:val="28"/>
          <w:lang w:eastAsia="en-US"/>
        </w:rPr>
        <w:t>:</w:t>
      </w:r>
      <w:r w:rsidR="00C2176A" w:rsidRPr="007D02D8">
        <w:t xml:space="preserve"> </w:t>
      </w:r>
      <w:r w:rsidR="007B4604">
        <w:rPr>
          <w:rFonts w:eastAsia="Calibri"/>
          <w:sz w:val="28"/>
          <w:szCs w:val="28"/>
          <w:lang w:eastAsia="en-US"/>
        </w:rPr>
        <w:t>«</w:t>
      </w:r>
      <w:r w:rsidR="00C2176A" w:rsidRPr="007D02D8">
        <w:rPr>
          <w:rFonts w:eastAsia="Calibri"/>
          <w:sz w:val="28"/>
          <w:szCs w:val="28"/>
          <w:lang w:eastAsia="en-US"/>
        </w:rPr>
        <w:t>- доля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</w:t>
      </w:r>
      <w:proofErr w:type="gramEnd"/>
      <w:r w:rsidR="00C2176A" w:rsidRPr="007D02D8">
        <w:rPr>
          <w:rFonts w:eastAsia="Calibri"/>
          <w:sz w:val="28"/>
          <w:szCs w:val="28"/>
          <w:lang w:eastAsia="en-US"/>
        </w:rPr>
        <w:t xml:space="preserve"> за счет бюджетных средств (за исключением обучающихся в детских школах искусств) – 2 %.»</w:t>
      </w:r>
    </w:p>
    <w:p w:rsidR="00B53966" w:rsidRPr="007D02D8" w:rsidRDefault="009C1F07" w:rsidP="00C2176A">
      <w:pPr>
        <w:pStyle w:val="a7"/>
        <w:numPr>
          <w:ilvl w:val="2"/>
          <w:numId w:val="5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sz w:val="28"/>
          <w:szCs w:val="28"/>
        </w:rPr>
        <w:t>допол</w:t>
      </w:r>
      <w:r w:rsidR="007D02D8" w:rsidRPr="007D02D8">
        <w:rPr>
          <w:sz w:val="28"/>
          <w:szCs w:val="28"/>
        </w:rPr>
        <w:t>нить абзацем следующего содержания</w:t>
      </w:r>
      <w:r w:rsidR="007D02D8" w:rsidRPr="007D02D8">
        <w:rPr>
          <w:rFonts w:eastAsia="Calibri"/>
          <w:sz w:val="28"/>
          <w:szCs w:val="28"/>
          <w:lang w:eastAsia="en-US"/>
        </w:rPr>
        <w:t>:</w:t>
      </w:r>
      <w:r w:rsidR="003574E0" w:rsidRPr="007D02D8">
        <w:rPr>
          <w:rFonts w:eastAsia="Calibri"/>
          <w:sz w:val="28"/>
          <w:szCs w:val="28"/>
          <w:lang w:eastAsia="en-US"/>
        </w:rPr>
        <w:t xml:space="preserve"> «- достижение доли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AC33BC" w:rsidRPr="007D02D8">
        <w:rPr>
          <w:rFonts w:eastAsia="Calibri"/>
          <w:sz w:val="28"/>
          <w:szCs w:val="28"/>
          <w:lang w:eastAsia="en-US"/>
        </w:rPr>
        <w:t>, 2%.</w:t>
      </w:r>
      <w:r w:rsidR="007D02D8" w:rsidRPr="007D02D8">
        <w:rPr>
          <w:rFonts w:eastAsia="Calibri"/>
          <w:sz w:val="28"/>
          <w:szCs w:val="28"/>
          <w:lang w:eastAsia="en-US"/>
        </w:rPr>
        <w:t>»</w:t>
      </w:r>
    </w:p>
    <w:p w:rsidR="00BA7607" w:rsidRPr="00AC33BC" w:rsidRDefault="00BA7607" w:rsidP="00BA7607">
      <w:pPr>
        <w:numPr>
          <w:ilvl w:val="0"/>
          <w:numId w:val="4"/>
        </w:numPr>
        <w:spacing w:line="360" w:lineRule="auto"/>
        <w:ind w:left="0" w:firstLine="360"/>
        <w:contextualSpacing/>
        <w:jc w:val="both"/>
        <w:rPr>
          <w:i/>
          <w:sz w:val="28"/>
          <w:szCs w:val="28"/>
        </w:rPr>
      </w:pPr>
      <w:r w:rsidRPr="00AC33BC">
        <w:rPr>
          <w:rFonts w:eastAsia="Calibri"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r w:rsidR="00AC33BC" w:rsidRPr="00AC33BC">
        <w:rPr>
          <w:rFonts w:eastAsia="Calibri"/>
          <w:sz w:val="28"/>
          <w:szCs w:val="28"/>
          <w:lang w:eastAsia="en-US"/>
        </w:rPr>
        <w:t xml:space="preserve">С.В. </w:t>
      </w:r>
      <w:proofErr w:type="spellStart"/>
      <w:r w:rsidRPr="00AC33BC">
        <w:rPr>
          <w:rFonts w:eastAsia="Calibri"/>
          <w:sz w:val="28"/>
          <w:szCs w:val="28"/>
          <w:lang w:eastAsia="en-US"/>
        </w:rPr>
        <w:t>Бурдейная</w:t>
      </w:r>
      <w:proofErr w:type="spellEnd"/>
      <w:r w:rsidRPr="00AC33BC">
        <w:rPr>
          <w:rFonts w:eastAsia="Calibri"/>
          <w:sz w:val="28"/>
          <w:szCs w:val="28"/>
          <w:lang w:eastAsia="en-US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307B17" w:rsidRPr="00AC33BC" w:rsidRDefault="00307B17" w:rsidP="00BA7607">
      <w:pPr>
        <w:numPr>
          <w:ilvl w:val="0"/>
          <w:numId w:val="4"/>
        </w:numPr>
        <w:spacing w:line="360" w:lineRule="auto"/>
        <w:ind w:left="0" w:firstLine="360"/>
        <w:contextualSpacing/>
        <w:jc w:val="both"/>
        <w:rPr>
          <w:i/>
          <w:sz w:val="28"/>
          <w:szCs w:val="28"/>
        </w:rPr>
      </w:pPr>
      <w:proofErr w:type="gramStart"/>
      <w:r w:rsidRPr="00AC33B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33B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Pr="00AC33BC">
        <w:rPr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</w:t>
      </w:r>
      <w:proofErr w:type="spellStart"/>
      <w:r w:rsidRPr="00AC33BC">
        <w:rPr>
          <w:sz w:val="28"/>
          <w:szCs w:val="28"/>
          <w:lang w:eastAsia="ar-SA"/>
        </w:rPr>
        <w:t>Янчука</w:t>
      </w:r>
      <w:proofErr w:type="spellEnd"/>
      <w:r w:rsidRPr="00AC33BC">
        <w:rPr>
          <w:sz w:val="28"/>
          <w:szCs w:val="28"/>
          <w:lang w:eastAsia="ar-SA"/>
        </w:rPr>
        <w:t xml:space="preserve">. </w:t>
      </w: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AC33BC">
        <w:rPr>
          <w:sz w:val="28"/>
          <w:szCs w:val="28"/>
          <w:lang w:eastAsia="ar-SA"/>
        </w:rPr>
        <w:t xml:space="preserve">Глава Анучинского </w:t>
      </w:r>
    </w:p>
    <w:p w:rsidR="00307B17" w:rsidRPr="00AC33BC" w:rsidRDefault="00307B17" w:rsidP="001F2190">
      <w:pPr>
        <w:widowControl w:val="0"/>
        <w:tabs>
          <w:tab w:val="left" w:pos="6270"/>
        </w:tabs>
        <w:suppressAutoHyphens/>
        <w:autoSpaceDE w:val="0"/>
        <w:spacing w:line="276" w:lineRule="auto"/>
        <w:jc w:val="both"/>
        <w:rPr>
          <w:rFonts w:ascii="Arial" w:hAnsi="Arial"/>
          <w:sz w:val="28"/>
          <w:szCs w:val="28"/>
          <w:lang w:eastAsia="ar-SA"/>
        </w:rPr>
      </w:pPr>
      <w:r w:rsidRPr="00AC33BC">
        <w:rPr>
          <w:sz w:val="28"/>
          <w:szCs w:val="28"/>
          <w:lang w:eastAsia="ar-SA"/>
        </w:rPr>
        <w:t xml:space="preserve">муниципального округа                                                         С.А. </w:t>
      </w:r>
      <w:proofErr w:type="spellStart"/>
      <w:r w:rsidRPr="00AC33BC">
        <w:rPr>
          <w:sz w:val="28"/>
          <w:szCs w:val="28"/>
          <w:lang w:eastAsia="ar-SA"/>
        </w:rPr>
        <w:t>Понуровский</w:t>
      </w:r>
      <w:proofErr w:type="spellEnd"/>
      <w:r w:rsidRPr="00AC33BC">
        <w:rPr>
          <w:sz w:val="28"/>
          <w:szCs w:val="28"/>
          <w:lang w:eastAsia="ar-SA"/>
        </w:rPr>
        <w:t xml:space="preserve">  </w:t>
      </w:r>
    </w:p>
    <w:p w:rsidR="00307B17" w:rsidRPr="00AC33BC" w:rsidRDefault="00307B17" w:rsidP="001F219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jc w:val="both"/>
        <w:rPr>
          <w:i/>
        </w:rPr>
      </w:pPr>
    </w:p>
    <w:sectPr w:rsidR="00307B17" w:rsidRPr="00AC33BC" w:rsidSect="00DB44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07" w:rsidRDefault="00BA7607" w:rsidP="00BA7607">
      <w:r>
        <w:separator/>
      </w:r>
    </w:p>
  </w:endnote>
  <w:endnote w:type="continuationSeparator" w:id="0">
    <w:p w:rsidR="00BA7607" w:rsidRDefault="00BA7607" w:rsidP="00B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07" w:rsidRDefault="00BA7607" w:rsidP="00BA7607">
      <w:r>
        <w:separator/>
      </w:r>
    </w:p>
  </w:footnote>
  <w:footnote w:type="continuationSeparator" w:id="0">
    <w:p w:rsidR="00BA7607" w:rsidRDefault="00BA7607" w:rsidP="00BA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3E520EFE"/>
    <w:multiLevelType w:val="hybridMultilevel"/>
    <w:tmpl w:val="FBFCB82E"/>
    <w:lvl w:ilvl="0" w:tplc="72187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2B34CB6C">
      <w:numFmt w:val="none"/>
      <w:lvlText w:val=""/>
      <w:lvlJc w:val="left"/>
      <w:pPr>
        <w:tabs>
          <w:tab w:val="num" w:pos="360"/>
        </w:tabs>
      </w:pPr>
    </w:lvl>
    <w:lvl w:ilvl="2" w:tplc="A68A9230">
      <w:numFmt w:val="none"/>
      <w:lvlText w:val=""/>
      <w:lvlJc w:val="left"/>
      <w:pPr>
        <w:tabs>
          <w:tab w:val="num" w:pos="360"/>
        </w:tabs>
      </w:pPr>
    </w:lvl>
    <w:lvl w:ilvl="3" w:tplc="E5DCCE00">
      <w:numFmt w:val="none"/>
      <w:lvlText w:val=""/>
      <w:lvlJc w:val="left"/>
      <w:pPr>
        <w:tabs>
          <w:tab w:val="num" w:pos="360"/>
        </w:tabs>
      </w:pPr>
    </w:lvl>
    <w:lvl w:ilvl="4" w:tplc="5A82AD04">
      <w:numFmt w:val="none"/>
      <w:lvlText w:val=""/>
      <w:lvlJc w:val="left"/>
      <w:pPr>
        <w:tabs>
          <w:tab w:val="num" w:pos="360"/>
        </w:tabs>
      </w:pPr>
    </w:lvl>
    <w:lvl w:ilvl="5" w:tplc="EB00EDB8">
      <w:numFmt w:val="none"/>
      <w:lvlText w:val=""/>
      <w:lvlJc w:val="left"/>
      <w:pPr>
        <w:tabs>
          <w:tab w:val="num" w:pos="360"/>
        </w:tabs>
      </w:pPr>
    </w:lvl>
    <w:lvl w:ilvl="6" w:tplc="6A6E7D24">
      <w:numFmt w:val="none"/>
      <w:lvlText w:val=""/>
      <w:lvlJc w:val="left"/>
      <w:pPr>
        <w:tabs>
          <w:tab w:val="num" w:pos="360"/>
        </w:tabs>
      </w:pPr>
    </w:lvl>
    <w:lvl w:ilvl="7" w:tplc="6A48EA42">
      <w:numFmt w:val="none"/>
      <w:lvlText w:val=""/>
      <w:lvlJc w:val="left"/>
      <w:pPr>
        <w:tabs>
          <w:tab w:val="num" w:pos="360"/>
        </w:tabs>
      </w:pPr>
    </w:lvl>
    <w:lvl w:ilvl="8" w:tplc="AB30BB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92576B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0BE52FE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1527D8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1834408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E243C1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9A96D46"/>
    <w:multiLevelType w:val="hybridMultilevel"/>
    <w:tmpl w:val="D2CEA688"/>
    <w:lvl w:ilvl="0" w:tplc="6F3A9B36">
      <w:start w:val="1"/>
      <w:numFmt w:val="decimal"/>
      <w:lvlText w:val="%1."/>
      <w:lvlJc w:val="left"/>
      <w:pPr>
        <w:tabs>
          <w:tab w:val="num" w:pos="1164"/>
        </w:tabs>
        <w:ind w:left="1164" w:hanging="456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32C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E031CDA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B"/>
    <w:rsid w:val="00010D87"/>
    <w:rsid w:val="00045C83"/>
    <w:rsid w:val="000821C5"/>
    <w:rsid w:val="000A45FC"/>
    <w:rsid w:val="000B05FF"/>
    <w:rsid w:val="000C5ABF"/>
    <w:rsid w:val="0010636B"/>
    <w:rsid w:val="00144327"/>
    <w:rsid w:val="0014482B"/>
    <w:rsid w:val="001635BA"/>
    <w:rsid w:val="00176779"/>
    <w:rsid w:val="00184290"/>
    <w:rsid w:val="001A487F"/>
    <w:rsid w:val="001D261E"/>
    <w:rsid w:val="001F2190"/>
    <w:rsid w:val="00204DA3"/>
    <w:rsid w:val="00212BDF"/>
    <w:rsid w:val="002836DA"/>
    <w:rsid w:val="002F458E"/>
    <w:rsid w:val="00307B17"/>
    <w:rsid w:val="003116FD"/>
    <w:rsid w:val="003574E0"/>
    <w:rsid w:val="00362D7F"/>
    <w:rsid w:val="00390C67"/>
    <w:rsid w:val="00394037"/>
    <w:rsid w:val="003D63AD"/>
    <w:rsid w:val="00426E8A"/>
    <w:rsid w:val="0043433F"/>
    <w:rsid w:val="004620E8"/>
    <w:rsid w:val="00543FD4"/>
    <w:rsid w:val="00561EE9"/>
    <w:rsid w:val="005B7797"/>
    <w:rsid w:val="005D3E49"/>
    <w:rsid w:val="006050E6"/>
    <w:rsid w:val="006512BC"/>
    <w:rsid w:val="00675A01"/>
    <w:rsid w:val="00683AC7"/>
    <w:rsid w:val="0068623C"/>
    <w:rsid w:val="00696F38"/>
    <w:rsid w:val="006A5F0E"/>
    <w:rsid w:val="006B5D3E"/>
    <w:rsid w:val="006F587A"/>
    <w:rsid w:val="007037B1"/>
    <w:rsid w:val="007A6830"/>
    <w:rsid w:val="007B4604"/>
    <w:rsid w:val="007C25E8"/>
    <w:rsid w:val="007C3562"/>
    <w:rsid w:val="007D02D8"/>
    <w:rsid w:val="008157B2"/>
    <w:rsid w:val="008E3662"/>
    <w:rsid w:val="0091226B"/>
    <w:rsid w:val="00935F28"/>
    <w:rsid w:val="009546EB"/>
    <w:rsid w:val="0098079E"/>
    <w:rsid w:val="0098283E"/>
    <w:rsid w:val="00990471"/>
    <w:rsid w:val="009B4641"/>
    <w:rsid w:val="009C1F07"/>
    <w:rsid w:val="009C29BB"/>
    <w:rsid w:val="009C7E70"/>
    <w:rsid w:val="009E462E"/>
    <w:rsid w:val="00A31098"/>
    <w:rsid w:val="00A3292E"/>
    <w:rsid w:val="00AB7903"/>
    <w:rsid w:val="00AC33BC"/>
    <w:rsid w:val="00AE7813"/>
    <w:rsid w:val="00B34066"/>
    <w:rsid w:val="00B45C5F"/>
    <w:rsid w:val="00B53966"/>
    <w:rsid w:val="00B57BFA"/>
    <w:rsid w:val="00BA7607"/>
    <w:rsid w:val="00BE3020"/>
    <w:rsid w:val="00C2176A"/>
    <w:rsid w:val="00C4396E"/>
    <w:rsid w:val="00C64D3D"/>
    <w:rsid w:val="00CD14F5"/>
    <w:rsid w:val="00D11D4E"/>
    <w:rsid w:val="00D32E76"/>
    <w:rsid w:val="00DB442B"/>
    <w:rsid w:val="00DE6F0E"/>
    <w:rsid w:val="00E11DE6"/>
    <w:rsid w:val="00E43960"/>
    <w:rsid w:val="00EB044B"/>
    <w:rsid w:val="00EB74ED"/>
    <w:rsid w:val="00EC5E5D"/>
    <w:rsid w:val="00ED7086"/>
    <w:rsid w:val="00F37415"/>
    <w:rsid w:val="00F37969"/>
    <w:rsid w:val="00F415DB"/>
    <w:rsid w:val="00F442ED"/>
    <w:rsid w:val="00F92E64"/>
    <w:rsid w:val="00FC457F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table" w:styleId="a8">
    <w:name w:val="Table Grid"/>
    <w:basedOn w:val="a1"/>
    <w:uiPriority w:val="59"/>
    <w:rsid w:val="007C35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A7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7607"/>
    <w:rPr>
      <w:sz w:val="24"/>
      <w:szCs w:val="24"/>
    </w:rPr>
  </w:style>
  <w:style w:type="paragraph" w:styleId="ab">
    <w:name w:val="footer"/>
    <w:basedOn w:val="a"/>
    <w:link w:val="ac"/>
    <w:rsid w:val="00BA7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7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table" w:styleId="a8">
    <w:name w:val="Table Grid"/>
    <w:basedOn w:val="a1"/>
    <w:uiPriority w:val="59"/>
    <w:rsid w:val="007C35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A7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7607"/>
    <w:rPr>
      <w:sz w:val="24"/>
      <w:szCs w:val="24"/>
    </w:rPr>
  </w:style>
  <w:style w:type="paragraph" w:styleId="ab">
    <w:name w:val="footer"/>
    <w:basedOn w:val="a"/>
    <w:link w:val="ac"/>
    <w:rsid w:val="00BA7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7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1902</Words>
  <Characters>15260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1</cp:lastModifiedBy>
  <cp:revision>23</cp:revision>
  <cp:lastPrinted>2023-05-12T04:12:00Z</cp:lastPrinted>
  <dcterms:created xsi:type="dcterms:W3CDTF">2021-09-06T23:21:00Z</dcterms:created>
  <dcterms:modified xsi:type="dcterms:W3CDTF">2023-05-16T06:40:00Z</dcterms:modified>
</cp:coreProperties>
</file>