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405D7" w14:textId="77777777" w:rsidR="00B118AB" w:rsidRDefault="00B118AB" w:rsidP="00B118AB">
      <w:pPr>
        <w:pStyle w:val="1"/>
        <w:shd w:val="clear" w:color="auto" w:fill="FFFFFF"/>
        <w:spacing w:before="0" w:beforeAutospacing="0" w:after="0" w:afterAutospacing="0"/>
        <w:rPr>
          <w:rFonts w:ascii="Arial" w:hAnsi="Arial" w:cs="Arial"/>
          <w:b w:val="0"/>
          <w:bCs w:val="0"/>
          <w:color w:val="333333"/>
          <w:sz w:val="42"/>
          <w:szCs w:val="42"/>
        </w:rPr>
      </w:pPr>
      <w:r>
        <w:rPr>
          <w:rFonts w:ascii="Arial" w:hAnsi="Arial" w:cs="Arial"/>
          <w:b w:val="0"/>
          <w:bCs w:val="0"/>
          <w:color w:val="333333"/>
          <w:sz w:val="42"/>
          <w:szCs w:val="42"/>
          <w:bdr w:val="none" w:sz="0" w:space="0" w:color="auto" w:frame="1"/>
        </w:rPr>
        <w:t>Второй год подряд активисты местного отделения «Матери России» совместно с органами профилактики безнадзорности и беспризорности проводят в Анучино праздник для ребят под открытым небом</w:t>
      </w:r>
    </w:p>
    <w:p w14:paraId="5910BE01" w14:textId="77777777" w:rsidR="00B118AB" w:rsidRDefault="00B118AB" w:rsidP="00B118AB">
      <w:pPr>
        <w:pStyle w:val="a3"/>
        <w:shd w:val="clear" w:color="auto" w:fill="FFFFFF"/>
        <w:spacing w:before="0" w:beforeAutospacing="0" w:after="300" w:afterAutospacing="0" w:line="330" w:lineRule="atLeast"/>
        <w:jc w:val="both"/>
        <w:rPr>
          <w:rFonts w:ascii="Arial" w:hAnsi="Arial" w:cs="Arial"/>
          <w:color w:val="333333"/>
          <w:sz w:val="20"/>
          <w:szCs w:val="20"/>
        </w:rPr>
      </w:pPr>
      <w:r>
        <w:rPr>
          <w:rFonts w:ascii="Arial" w:hAnsi="Arial" w:cs="Arial"/>
          <w:color w:val="333333"/>
          <w:sz w:val="20"/>
          <w:szCs w:val="20"/>
        </w:rPr>
        <w:t>Если в прошлом году мероприятие проводилось для всех неорганизованных детей, то в этом году основной упор сделали на ребят с ограниченными возможностями здоровья, опекаемых, состоящих на учёте, находящихся в трудной жизненной ситуации и социально-опасном положении.</w:t>
      </w:r>
    </w:p>
    <w:p w14:paraId="72560F57" w14:textId="77777777" w:rsidR="00B118AB" w:rsidRDefault="00B118AB" w:rsidP="00B118AB">
      <w:pPr>
        <w:pStyle w:val="a3"/>
        <w:shd w:val="clear" w:color="auto" w:fill="FFFFFF"/>
        <w:spacing w:before="0" w:beforeAutospacing="0" w:after="300" w:afterAutospacing="0" w:line="330" w:lineRule="atLeast"/>
        <w:jc w:val="both"/>
        <w:rPr>
          <w:rFonts w:ascii="Arial" w:hAnsi="Arial" w:cs="Arial"/>
          <w:color w:val="333333"/>
          <w:sz w:val="20"/>
          <w:szCs w:val="20"/>
        </w:rPr>
      </w:pPr>
      <w:r>
        <w:rPr>
          <w:rFonts w:ascii="Arial" w:hAnsi="Arial" w:cs="Arial"/>
          <w:color w:val="333333"/>
          <w:sz w:val="20"/>
          <w:szCs w:val="20"/>
        </w:rPr>
        <w:t>На гостеприимной площадке возле ДЮСШ собрались дети разных возрастов. Мимо проходящие юные жители, заметив оживление, тоже становились участниками спортивного праздника. Мальчишки и девчонки соревновались в шуточных эстафетах и играх, крутили обручи, прыгали через огромную скакалку, перетягивали канат, ходили по стропе,  занимались на турниках.</w:t>
      </w:r>
    </w:p>
    <w:p w14:paraId="6A977AC8" w14:textId="77777777" w:rsidR="00B118AB" w:rsidRDefault="00B118AB" w:rsidP="00B118AB">
      <w:pPr>
        <w:pStyle w:val="a3"/>
        <w:shd w:val="clear" w:color="auto" w:fill="FFFFFF"/>
        <w:spacing w:before="0" w:beforeAutospacing="0" w:after="300" w:afterAutospacing="0" w:line="330" w:lineRule="atLeast"/>
        <w:jc w:val="both"/>
        <w:rPr>
          <w:rFonts w:ascii="Arial" w:hAnsi="Arial" w:cs="Arial"/>
          <w:color w:val="333333"/>
          <w:sz w:val="20"/>
          <w:szCs w:val="20"/>
        </w:rPr>
      </w:pPr>
      <w:r>
        <w:rPr>
          <w:rFonts w:ascii="Arial" w:hAnsi="Arial" w:cs="Arial"/>
          <w:color w:val="333333"/>
          <w:sz w:val="20"/>
          <w:szCs w:val="20"/>
        </w:rPr>
        <w:t>В это время любой желающий мог посмотреть работы, представленные на творческий конкурс. Рисунки, поделки, фотографии расположились на территории районного музея. Марина Анатольевна Вилюмс от имени прокурора Анучинского района наградила всех участников конкурса памятными призами. Закончилось мероприятие чаепитием и дружескими беседами.</w:t>
      </w:r>
    </w:p>
    <w:tbl>
      <w:tblPr>
        <w:tblW w:w="9300" w:type="dxa"/>
        <w:tblCellSpacing w:w="15"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4685"/>
        <w:gridCol w:w="4670"/>
      </w:tblGrid>
      <w:tr w:rsidR="00B118AB" w14:paraId="7E34EE2A" w14:textId="77777777" w:rsidTr="00B118AB">
        <w:trPr>
          <w:tblCellSpacing w:w="15" w:type="dxa"/>
        </w:trPr>
        <w:tc>
          <w:tcPr>
            <w:tcW w:w="0" w:type="auto"/>
            <w:tcBorders>
              <w:top w:val="nil"/>
              <w:left w:val="nil"/>
              <w:bottom w:val="single" w:sz="6" w:space="0" w:color="EEEEEE"/>
              <w:right w:val="dotted" w:sz="6" w:space="0" w:color="EEEEEE"/>
            </w:tcBorders>
            <w:tcMar>
              <w:top w:w="96" w:type="dxa"/>
              <w:left w:w="96" w:type="dxa"/>
              <w:bottom w:w="96" w:type="dxa"/>
              <w:right w:w="96" w:type="dxa"/>
            </w:tcMar>
            <w:vAlign w:val="center"/>
            <w:hideMark/>
          </w:tcPr>
          <w:p w14:paraId="504E465D" w14:textId="514C2641" w:rsidR="00B118AB" w:rsidRDefault="00B118AB">
            <w:pPr>
              <w:rPr>
                <w:rFonts w:ascii="Times New Roman" w:hAnsi="Times New Roman" w:cs="Times New Roman"/>
                <w:sz w:val="24"/>
                <w:szCs w:val="24"/>
              </w:rPr>
            </w:pPr>
            <w:r>
              <w:rPr>
                <w:noProof/>
                <w:color w:val="230BD9"/>
                <w:bdr w:val="none" w:sz="0" w:space="0" w:color="auto" w:frame="1"/>
              </w:rPr>
              <w:drawing>
                <wp:inline distT="0" distB="0" distL="0" distR="0" wp14:anchorId="28AD31A9" wp14:editId="5E1E73C5">
                  <wp:extent cx="2857500" cy="2143125"/>
                  <wp:effectExtent l="0" t="0" r="0" b="9525"/>
                  <wp:docPr id="6" name="Рисунок 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tc>
        <w:tc>
          <w:tcPr>
            <w:tcW w:w="0" w:type="auto"/>
            <w:tcBorders>
              <w:top w:val="nil"/>
              <w:left w:val="nil"/>
              <w:bottom w:val="single" w:sz="6" w:space="0" w:color="EEEEEE"/>
              <w:right w:val="nil"/>
            </w:tcBorders>
            <w:tcMar>
              <w:top w:w="96" w:type="dxa"/>
              <w:left w:w="96" w:type="dxa"/>
              <w:bottom w:w="96" w:type="dxa"/>
              <w:right w:w="96" w:type="dxa"/>
            </w:tcMar>
            <w:vAlign w:val="center"/>
            <w:hideMark/>
          </w:tcPr>
          <w:p w14:paraId="65EE335A" w14:textId="29B75F0B" w:rsidR="00B118AB" w:rsidRDefault="00B118AB">
            <w:r>
              <w:rPr>
                <w:noProof/>
                <w:color w:val="230BD9"/>
                <w:bdr w:val="none" w:sz="0" w:space="0" w:color="auto" w:frame="1"/>
              </w:rPr>
              <w:drawing>
                <wp:inline distT="0" distB="0" distL="0" distR="0" wp14:anchorId="1756F85D" wp14:editId="65633364">
                  <wp:extent cx="2857500" cy="2143125"/>
                  <wp:effectExtent l="0" t="0" r="0" b="9525"/>
                  <wp:docPr id="5" name="Рисунок 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tc>
      </w:tr>
      <w:tr w:rsidR="00B118AB" w14:paraId="7A612449" w14:textId="77777777" w:rsidTr="00B118AB">
        <w:trPr>
          <w:tblCellSpacing w:w="15" w:type="dxa"/>
        </w:trPr>
        <w:tc>
          <w:tcPr>
            <w:tcW w:w="0" w:type="auto"/>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14:paraId="4FA1C5BB" w14:textId="4EB3232E" w:rsidR="00B118AB" w:rsidRDefault="00B118AB">
            <w:r>
              <w:rPr>
                <w:noProof/>
                <w:color w:val="230BD9"/>
                <w:bdr w:val="none" w:sz="0" w:space="0" w:color="auto" w:frame="1"/>
              </w:rPr>
              <w:lastRenderedPageBreak/>
              <w:drawing>
                <wp:inline distT="0" distB="0" distL="0" distR="0" wp14:anchorId="7E82C4B3" wp14:editId="041C59F1">
                  <wp:extent cx="2857500" cy="2143125"/>
                  <wp:effectExtent l="0" t="0" r="0" b="9525"/>
                  <wp:docPr id="4" name="Рисунок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tc>
        <w:tc>
          <w:tcPr>
            <w:tcW w:w="0" w:type="auto"/>
            <w:tcBorders>
              <w:top w:val="nil"/>
              <w:left w:val="nil"/>
              <w:bottom w:val="single" w:sz="6" w:space="0" w:color="EEEEEE"/>
              <w:right w:val="nil"/>
            </w:tcBorders>
            <w:shd w:val="clear" w:color="auto" w:fill="F9F9F9"/>
            <w:tcMar>
              <w:top w:w="96" w:type="dxa"/>
              <w:left w:w="96" w:type="dxa"/>
              <w:bottom w:w="96" w:type="dxa"/>
              <w:right w:w="96" w:type="dxa"/>
            </w:tcMar>
            <w:vAlign w:val="center"/>
            <w:hideMark/>
          </w:tcPr>
          <w:p w14:paraId="0C2B762C" w14:textId="0CC877FC" w:rsidR="00B118AB" w:rsidRDefault="00B118AB">
            <w:r>
              <w:rPr>
                <w:noProof/>
                <w:color w:val="230BD9"/>
                <w:bdr w:val="none" w:sz="0" w:space="0" w:color="auto" w:frame="1"/>
              </w:rPr>
              <w:drawing>
                <wp:inline distT="0" distB="0" distL="0" distR="0" wp14:anchorId="79C0FAB7" wp14:editId="141BE262">
                  <wp:extent cx="2857500" cy="2143125"/>
                  <wp:effectExtent l="0" t="0" r="0" b="9525"/>
                  <wp:docPr id="3" name="Рисунок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tc>
      </w:tr>
      <w:tr w:rsidR="00B118AB" w14:paraId="732A7CDB" w14:textId="77777777" w:rsidTr="00B118AB">
        <w:trPr>
          <w:tblCellSpacing w:w="15" w:type="dxa"/>
        </w:trPr>
        <w:tc>
          <w:tcPr>
            <w:tcW w:w="0" w:type="auto"/>
            <w:tcBorders>
              <w:top w:val="nil"/>
              <w:left w:val="nil"/>
              <w:bottom w:val="nil"/>
              <w:right w:val="dotted" w:sz="6" w:space="0" w:color="EEEEEE"/>
            </w:tcBorders>
            <w:tcMar>
              <w:top w:w="96" w:type="dxa"/>
              <w:left w:w="96" w:type="dxa"/>
              <w:bottom w:w="96" w:type="dxa"/>
              <w:right w:w="96" w:type="dxa"/>
            </w:tcMar>
            <w:vAlign w:val="center"/>
            <w:hideMark/>
          </w:tcPr>
          <w:p w14:paraId="7BBA0E76" w14:textId="44EA761E" w:rsidR="00B118AB" w:rsidRDefault="00B118AB">
            <w:r>
              <w:rPr>
                <w:noProof/>
                <w:color w:val="230BD9"/>
                <w:bdr w:val="none" w:sz="0" w:space="0" w:color="auto" w:frame="1"/>
              </w:rPr>
              <w:drawing>
                <wp:inline distT="0" distB="0" distL="0" distR="0" wp14:anchorId="7B5F29B3" wp14:editId="7305E9E2">
                  <wp:extent cx="2857500" cy="2143125"/>
                  <wp:effectExtent l="0" t="0" r="0" b="9525"/>
                  <wp:docPr id="2" name="Рисунок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tc>
        <w:tc>
          <w:tcPr>
            <w:tcW w:w="0" w:type="auto"/>
            <w:tcBorders>
              <w:top w:val="nil"/>
              <w:left w:val="nil"/>
              <w:bottom w:val="nil"/>
              <w:right w:val="nil"/>
            </w:tcBorders>
            <w:tcMar>
              <w:top w:w="96" w:type="dxa"/>
              <w:left w:w="96" w:type="dxa"/>
              <w:bottom w:w="96" w:type="dxa"/>
              <w:right w:w="96" w:type="dxa"/>
            </w:tcMar>
            <w:vAlign w:val="center"/>
            <w:hideMark/>
          </w:tcPr>
          <w:p w14:paraId="2BC9AE25" w14:textId="46987AA6" w:rsidR="00B118AB" w:rsidRDefault="00B118AB">
            <w:r>
              <w:rPr>
                <w:noProof/>
                <w:color w:val="0EAD00"/>
                <w:bdr w:val="none" w:sz="0" w:space="0" w:color="auto" w:frame="1"/>
              </w:rPr>
              <w:drawing>
                <wp:inline distT="0" distB="0" distL="0" distR="0" wp14:anchorId="0CCFB589" wp14:editId="14817CAB">
                  <wp:extent cx="2857500" cy="2143125"/>
                  <wp:effectExtent l="0" t="0" r="0" b="9525"/>
                  <wp:docPr id="1" name="Рисунок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tc>
      </w:tr>
    </w:tbl>
    <w:p w14:paraId="49BCC105" w14:textId="77777777" w:rsidR="004432DB" w:rsidRPr="00B118AB" w:rsidRDefault="004432DB" w:rsidP="00B118AB">
      <w:bookmarkStart w:id="0" w:name="_GoBack"/>
      <w:bookmarkEnd w:id="0"/>
    </w:p>
    <w:sectPr w:rsidR="004432DB" w:rsidRPr="00B118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2DB"/>
    <w:rsid w:val="004432DB"/>
    <w:rsid w:val="00B118AB"/>
    <w:rsid w:val="00D63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FCFC00-C299-4959-BA03-F80B2C71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634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348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634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634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430000">
      <w:bodyDiv w:val="1"/>
      <w:marLeft w:val="0"/>
      <w:marRight w:val="0"/>
      <w:marTop w:val="0"/>
      <w:marBottom w:val="0"/>
      <w:divBdr>
        <w:top w:val="none" w:sz="0" w:space="0" w:color="auto"/>
        <w:left w:val="none" w:sz="0" w:space="0" w:color="auto"/>
        <w:bottom w:val="none" w:sz="0" w:space="0" w:color="auto"/>
        <w:right w:val="none" w:sz="0" w:space="0" w:color="auto"/>
      </w:divBdr>
      <w:divsChild>
        <w:div w:id="1338651245">
          <w:marLeft w:val="0"/>
          <w:marRight w:val="0"/>
          <w:marTop w:val="0"/>
          <w:marBottom w:val="0"/>
          <w:divBdr>
            <w:top w:val="none" w:sz="0" w:space="0" w:color="auto"/>
            <w:left w:val="none" w:sz="0" w:space="0" w:color="auto"/>
            <w:bottom w:val="none" w:sz="0" w:space="0" w:color="auto"/>
            <w:right w:val="none" w:sz="0" w:space="0" w:color="auto"/>
          </w:divBdr>
        </w:div>
      </w:divsChild>
    </w:div>
    <w:div w:id="1902204969">
      <w:bodyDiv w:val="1"/>
      <w:marLeft w:val="0"/>
      <w:marRight w:val="0"/>
      <w:marTop w:val="0"/>
      <w:marBottom w:val="0"/>
      <w:divBdr>
        <w:top w:val="none" w:sz="0" w:space="0" w:color="auto"/>
        <w:left w:val="none" w:sz="0" w:space="0" w:color="auto"/>
        <w:bottom w:val="none" w:sz="0" w:space="0" w:color="auto"/>
        <w:right w:val="none" w:sz="0" w:space="0" w:color="auto"/>
      </w:divBdr>
      <w:divsChild>
        <w:div w:id="989751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uchinsky.ru/wp-content/uploads/2018/06/Six.jp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anuchinsky.ru/wp-content/uploads/2018/06/Four.jp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anuchinsky.ru/wp-content/uploads/2018/06/One.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anuchinsky.ru/wp-content/uploads/2018/06/Three.jpg" TargetMode="External"/><Relationship Id="rId4" Type="http://schemas.openxmlformats.org/officeDocument/2006/relationships/hyperlink" Target="http://anuchinsky.ru/wp-content/uploads/2018/06/Two.jpg" TargetMode="External"/><Relationship Id="rId9" Type="http://schemas.openxmlformats.org/officeDocument/2006/relationships/image" Target="media/image3.jpeg"/><Relationship Id="rId14" Type="http://schemas.openxmlformats.org/officeDocument/2006/relationships/hyperlink" Target="http://anuchinsky.ru/wp-content/uploads/2018/06/Five.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981</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3</cp:revision>
  <dcterms:created xsi:type="dcterms:W3CDTF">2020-01-20T19:32:00Z</dcterms:created>
  <dcterms:modified xsi:type="dcterms:W3CDTF">2020-01-20T19:32:00Z</dcterms:modified>
</cp:coreProperties>
</file>