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E5" w:rsidRDefault="00D40DE5">
      <w:pPr>
        <w:shd w:val="clear" w:color="auto" w:fill="FFFFFF"/>
        <w:tabs>
          <w:tab w:val="left" w:pos="0"/>
        </w:tabs>
        <w:spacing w:after="150"/>
        <w:rPr>
          <w:bCs/>
          <w:sz w:val="28"/>
        </w:rPr>
      </w:pPr>
    </w:p>
    <w:p w:rsidR="00D40DE5" w:rsidRDefault="00334E98">
      <w:pPr>
        <w:pStyle w:val="af"/>
        <w:spacing w:before="0" w:after="0"/>
        <w:jc w:val="right"/>
      </w:pPr>
      <w:r>
        <w:rPr>
          <w:rFonts w:eastAsia="Calibri"/>
          <w:sz w:val="26"/>
          <w:szCs w:val="26"/>
          <w:lang w:eastAsia="en-US"/>
        </w:rPr>
        <w:t xml:space="preserve">ПРОЕКТ  </w:t>
      </w:r>
      <w:bookmarkStart w:id="0" w:name="_GoBack"/>
      <w:bookmarkEnd w:id="0"/>
      <w:r w:rsidR="00463993">
        <w:rPr>
          <w:sz w:val="26"/>
          <w:szCs w:val="26"/>
        </w:rPr>
        <w:t xml:space="preserve">к </w:t>
      </w:r>
      <w:hyperlink r:id="rId7" w:tgtFrame="Перейти к тексту Постановления">
        <w:r w:rsidR="00463993">
          <w:rPr>
            <w:rStyle w:val="a6"/>
            <w:b w:val="0"/>
            <w:bCs w:val="0"/>
            <w:sz w:val="26"/>
            <w:szCs w:val="26"/>
          </w:rPr>
          <w:t>постановлению Администрации</w:t>
        </w:r>
      </w:hyperlink>
      <w:r w:rsidR="00463993">
        <w:rPr>
          <w:sz w:val="26"/>
          <w:szCs w:val="26"/>
        </w:rPr>
        <w:br/>
        <w:t>Анучинского муниципального округа</w:t>
      </w:r>
    </w:p>
    <w:p w:rsidR="00D40DE5" w:rsidRDefault="00463993">
      <w:pPr>
        <w:pStyle w:val="af"/>
        <w:spacing w:before="0" w:after="0"/>
        <w:jc w:val="right"/>
      </w:pPr>
      <w:r>
        <w:rPr>
          <w:rStyle w:val="a6"/>
          <w:b w:val="0"/>
          <w:bCs w:val="0"/>
          <w:sz w:val="26"/>
          <w:szCs w:val="26"/>
          <w:u w:val="single"/>
        </w:rPr>
        <w:t>от _______________ №_____</w:t>
      </w:r>
      <w:r>
        <w:rPr>
          <w:rStyle w:val="a6"/>
          <w:b w:val="0"/>
          <w:bCs w:val="0"/>
          <w:u w:val="single"/>
        </w:rPr>
        <w:t>_</w:t>
      </w:r>
    </w:p>
    <w:p w:rsidR="00D40DE5" w:rsidRDefault="00D40DE5">
      <w:pPr>
        <w:pStyle w:val="af0"/>
        <w:spacing w:after="150"/>
        <w:jc w:val="center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vertAlign w:val="subscript"/>
        </w:rPr>
      </w:pPr>
    </w:p>
    <w:p w:rsidR="00D40DE5" w:rsidRDefault="00463993">
      <w:pPr>
        <w:shd w:val="clear" w:color="auto" w:fill="FFFFFF"/>
        <w:jc w:val="center"/>
      </w:pPr>
      <w:r>
        <w:rPr>
          <w:b/>
          <w:color w:val="000000"/>
          <w:spacing w:val="20"/>
          <w:sz w:val="28"/>
        </w:rPr>
        <w:t xml:space="preserve">Программа </w:t>
      </w:r>
    </w:p>
    <w:p w:rsidR="00D40DE5" w:rsidRDefault="00463993">
      <w:pPr>
        <w:shd w:val="clear" w:color="auto" w:fill="FFFFFF"/>
        <w:jc w:val="center"/>
      </w:pPr>
      <w:r>
        <w:rPr>
          <w:b/>
          <w:color w:val="000000"/>
          <w:spacing w:val="20"/>
          <w:sz w:val="28"/>
        </w:rPr>
        <w:t xml:space="preserve">профилактики нарушений обязательных требований, требований, установленных муниципальными  правовыми актами  в рамках муниципального </w:t>
      </w:r>
      <w:proofErr w:type="gramStart"/>
      <w:r>
        <w:rPr>
          <w:b/>
          <w:color w:val="000000"/>
          <w:spacing w:val="20"/>
          <w:sz w:val="28"/>
        </w:rPr>
        <w:t>контроля за</w:t>
      </w:r>
      <w:proofErr w:type="gramEnd"/>
      <w:r>
        <w:rPr>
          <w:b/>
          <w:color w:val="000000"/>
          <w:spacing w:val="20"/>
          <w:sz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</w:t>
      </w:r>
    </w:p>
    <w:p w:rsidR="00D40DE5" w:rsidRDefault="00D40DE5">
      <w:pPr>
        <w:pStyle w:val="a9"/>
        <w:shd w:val="clear" w:color="auto" w:fill="FFFFFF"/>
        <w:jc w:val="center"/>
        <w:rPr>
          <w:sz w:val="28"/>
        </w:rPr>
      </w:pPr>
    </w:p>
    <w:p w:rsidR="00D40DE5" w:rsidRDefault="00463993">
      <w:pPr>
        <w:pStyle w:val="a9"/>
        <w:shd w:val="clear" w:color="auto" w:fill="FFFFFF"/>
        <w:jc w:val="center"/>
      </w:pPr>
      <w:r>
        <w:rPr>
          <w:rStyle w:val="a5"/>
          <w:b w:val="0"/>
          <w:bCs w:val="0"/>
          <w:color w:val="000000"/>
          <w:spacing w:val="20"/>
          <w:sz w:val="28"/>
        </w:rPr>
        <w:t>Общие положения</w:t>
      </w:r>
    </w:p>
    <w:p w:rsidR="00D40DE5" w:rsidRDefault="00D40DE5">
      <w:pPr>
        <w:pStyle w:val="a9"/>
        <w:shd w:val="clear" w:color="auto" w:fill="FFFFFF"/>
        <w:jc w:val="center"/>
        <w:rPr>
          <w:rStyle w:val="a5"/>
          <w:b w:val="0"/>
          <w:bCs w:val="0"/>
          <w:color w:val="000000"/>
          <w:spacing w:val="20"/>
          <w:sz w:val="28"/>
        </w:rPr>
      </w:pPr>
    </w:p>
    <w:p w:rsidR="00D40DE5" w:rsidRDefault="00463993">
      <w:pPr>
        <w:pStyle w:val="a9"/>
        <w:numPr>
          <w:ilvl w:val="0"/>
          <w:numId w:val="1"/>
        </w:numPr>
        <w:tabs>
          <w:tab w:val="clear" w:pos="1260"/>
          <w:tab w:val="left" w:pos="0"/>
        </w:tabs>
        <w:ind w:left="707"/>
      </w:pPr>
      <w:proofErr w:type="gramStart"/>
      <w:r>
        <w:t xml:space="preserve">Настоящая программа разработана в целях организации проведения администрацией Анучинского муниципального района Приморского края, уполномоченной на осуществление муниципального контроля </w:t>
      </w:r>
      <w:r>
        <w:rPr>
          <w:color w:val="000000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 xml:space="preserve"> на территории  Анучинского муниципального округа Приморского края профилактики нарушений в отношении объектов недропользования, требований законодательства Российской Федерации, законодательства Приморского края</w:t>
      </w:r>
      <w:proofErr w:type="gramEnd"/>
      <w:r>
        <w:t xml:space="preserve">, за </w:t>
      </w:r>
      <w:proofErr w:type="gramStart"/>
      <w:r>
        <w:t>нарушение</w:t>
      </w:r>
      <w:proofErr w:type="gramEnd"/>
      <w:r>
        <w:t xml:space="preserve"> которых законодательством Российской Федерации, законодательством Приморского края предусмотрена административная и иная ответственность, в целях предупреждения возможного нарушения юридическими лицами независимо от их организационно-правовой формы, их руководителями, должностными лицами, индивидуальными предпринимателями (далее - подконтрольные субъекты) обязательных требований законодательства в области охраны недр при добыче общераспространенных полезных ископаемых, </w:t>
      </w:r>
      <w:r>
        <w:rPr>
          <w:color w:val="000000"/>
        </w:rPr>
        <w:t>а также при строительстве подземных сооружений, не связанных с добычей полезных ископаемых</w:t>
      </w:r>
      <w:r>
        <w:t xml:space="preserve"> и снижения рисков причинения ущерба охраняемым законом ценностям. </w:t>
      </w:r>
    </w:p>
    <w:p w:rsidR="00D40DE5" w:rsidRDefault="00463993">
      <w:pPr>
        <w:pStyle w:val="a9"/>
        <w:numPr>
          <w:ilvl w:val="0"/>
          <w:numId w:val="1"/>
        </w:numPr>
        <w:tabs>
          <w:tab w:val="clear" w:pos="1260"/>
          <w:tab w:val="left" w:pos="0"/>
        </w:tabs>
        <w:ind w:left="707"/>
      </w:pPr>
      <w:r>
        <w:t xml:space="preserve">Профилактика нарушений обязательных требований законодательства при использовании недр, </w:t>
      </w:r>
      <w:r>
        <w:rPr>
          <w:color w:val="000000"/>
        </w:rPr>
        <w:t>а также при строительстве подземных сооружений, не связанных с добычей полезных ископаемых</w:t>
      </w:r>
      <w:r>
        <w:t xml:space="preserve"> проводится в рамках осуществления муниципального </w:t>
      </w:r>
      <w:proofErr w:type="gramStart"/>
      <w:r>
        <w:t>контроля з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 xml:space="preserve">. </w:t>
      </w:r>
    </w:p>
    <w:p w:rsidR="00D40DE5" w:rsidRDefault="00463993">
      <w:pPr>
        <w:pStyle w:val="a9"/>
        <w:numPr>
          <w:ilvl w:val="0"/>
          <w:numId w:val="1"/>
        </w:numPr>
        <w:tabs>
          <w:tab w:val="clear" w:pos="1260"/>
          <w:tab w:val="left" w:pos="0"/>
        </w:tabs>
        <w:ind w:left="707"/>
      </w:pPr>
      <w:r>
        <w:t xml:space="preserve">Целью программы является: </w:t>
      </w:r>
    </w:p>
    <w:p w:rsidR="00D40DE5" w:rsidRDefault="00463993">
      <w:pPr>
        <w:pStyle w:val="a9"/>
        <w:numPr>
          <w:ilvl w:val="0"/>
          <w:numId w:val="1"/>
        </w:numPr>
        <w:tabs>
          <w:tab w:val="clear" w:pos="1260"/>
          <w:tab w:val="left" w:pos="0"/>
        </w:tabs>
        <w:ind w:left="707"/>
      </w:pPr>
      <w:r>
        <w:t xml:space="preserve">предупреждение нарушений подконтрольными субъектами требований законодательства при использовании недр при добыче общераспространенных полезных ископаемых, </w:t>
      </w:r>
      <w:r>
        <w:rPr>
          <w:color w:val="000000"/>
        </w:rPr>
        <w:t>а также при строительстве подземных сооружений, не связанных с добычей полезных ископаемых</w:t>
      </w:r>
      <w:r>
        <w:t xml:space="preserve"> включая устранение причин, факторов и условий, способствующих возможному нарушению обязательных требований; </w:t>
      </w:r>
    </w:p>
    <w:p w:rsidR="00D40DE5" w:rsidRDefault="00463993">
      <w:pPr>
        <w:pStyle w:val="a9"/>
        <w:numPr>
          <w:ilvl w:val="0"/>
          <w:numId w:val="1"/>
        </w:numPr>
        <w:tabs>
          <w:tab w:val="clear" w:pos="1260"/>
          <w:tab w:val="left" w:pos="0"/>
        </w:tabs>
        <w:ind w:left="707"/>
      </w:pPr>
      <w:r>
        <w:lastRenderedPageBreak/>
        <w:t xml:space="preserve">создание мотивации к добросовестному поведению подконтрольных субъектов; </w:t>
      </w:r>
    </w:p>
    <w:p w:rsidR="00D40DE5" w:rsidRDefault="00463993">
      <w:pPr>
        <w:pStyle w:val="a9"/>
        <w:numPr>
          <w:ilvl w:val="0"/>
          <w:numId w:val="1"/>
        </w:numPr>
        <w:tabs>
          <w:tab w:val="clear" w:pos="1260"/>
          <w:tab w:val="left" w:pos="0"/>
        </w:tabs>
        <w:ind w:left="707"/>
      </w:pPr>
      <w:r>
        <w:t xml:space="preserve">снижение уровня ущерба охраняемым законом ценностям. </w:t>
      </w:r>
    </w:p>
    <w:p w:rsidR="00D40DE5" w:rsidRDefault="00463993">
      <w:pPr>
        <w:pStyle w:val="a9"/>
        <w:numPr>
          <w:ilvl w:val="0"/>
          <w:numId w:val="1"/>
        </w:numPr>
        <w:tabs>
          <w:tab w:val="clear" w:pos="1260"/>
          <w:tab w:val="left" w:pos="0"/>
        </w:tabs>
        <w:ind w:left="707"/>
      </w:pPr>
      <w:r>
        <w:t xml:space="preserve">Задачами программы являются: </w:t>
      </w:r>
    </w:p>
    <w:p w:rsidR="00D40DE5" w:rsidRDefault="00463993">
      <w:pPr>
        <w:pStyle w:val="a9"/>
        <w:numPr>
          <w:ilvl w:val="0"/>
          <w:numId w:val="1"/>
        </w:numPr>
        <w:tabs>
          <w:tab w:val="clear" w:pos="1260"/>
          <w:tab w:val="left" w:pos="0"/>
        </w:tabs>
        <w:ind w:left="707"/>
      </w:pPr>
      <w:r>
        <w:t xml:space="preserve">укрепление системы профилактики нарушений обязательных требований путем активизации профилактической деятельности; </w:t>
      </w:r>
    </w:p>
    <w:p w:rsidR="00D40DE5" w:rsidRDefault="00463993">
      <w:pPr>
        <w:pStyle w:val="a9"/>
        <w:numPr>
          <w:ilvl w:val="0"/>
          <w:numId w:val="1"/>
        </w:numPr>
        <w:tabs>
          <w:tab w:val="clear" w:pos="1260"/>
          <w:tab w:val="left" w:pos="0"/>
        </w:tabs>
        <w:ind w:left="707"/>
      </w:pPr>
      <w:r>
        <w:t xml:space="preserve">выявление причин, факторов и условий, способствующих нарушениям требований законодательства при использовании недр при добыче общераспространенных полезных ископаемых, </w:t>
      </w:r>
      <w:r>
        <w:rPr>
          <w:color w:val="000000"/>
        </w:rPr>
        <w:t>а также при строительстве подземных сооружений, не связанных с добычей полезных ископаемых</w:t>
      </w:r>
      <w:r>
        <w:t xml:space="preserve">; </w:t>
      </w:r>
    </w:p>
    <w:p w:rsidR="00D40DE5" w:rsidRDefault="00463993">
      <w:pPr>
        <w:pStyle w:val="a9"/>
        <w:tabs>
          <w:tab w:val="clear" w:pos="1260"/>
          <w:tab w:val="left" w:pos="0"/>
        </w:tabs>
        <w:ind w:left="1054"/>
      </w:pPr>
      <w:r>
        <w:t xml:space="preserve">      10.повышение правосознания и правовой культуры подконтрольных субъектов. </w:t>
      </w:r>
    </w:p>
    <w:p w:rsidR="00D40DE5" w:rsidRDefault="00463993">
      <w:pPr>
        <w:pStyle w:val="a9"/>
        <w:tabs>
          <w:tab w:val="clear" w:pos="1260"/>
          <w:tab w:val="left" w:pos="0"/>
        </w:tabs>
        <w:ind w:left="771"/>
      </w:pPr>
      <w:r>
        <w:t>Срок реализации программы: 2021 год.</w:t>
      </w:r>
    </w:p>
    <w:p w:rsidR="00D40DE5" w:rsidRDefault="00463993">
      <w:pPr>
        <w:pStyle w:val="a9"/>
        <w:tabs>
          <w:tab w:val="clear" w:pos="1260"/>
          <w:tab w:val="left" w:pos="0"/>
        </w:tabs>
        <w:ind w:left="347"/>
      </w:pPr>
      <w:r>
        <w:t xml:space="preserve">                   </w:t>
      </w:r>
    </w:p>
    <w:p w:rsidR="00D40DE5" w:rsidRDefault="00463993">
      <w:pPr>
        <w:pStyle w:val="a9"/>
        <w:tabs>
          <w:tab w:val="clear" w:pos="1260"/>
          <w:tab w:val="left" w:pos="0"/>
        </w:tabs>
        <w:ind w:left="347"/>
        <w:jc w:val="center"/>
      </w:pPr>
      <w:r>
        <w:t xml:space="preserve"> План-график профилактических мероприятий </w:t>
      </w:r>
    </w:p>
    <w:p w:rsidR="00D40DE5" w:rsidRDefault="00D40DE5">
      <w:pPr>
        <w:pStyle w:val="a9"/>
        <w:tabs>
          <w:tab w:val="clear" w:pos="1260"/>
          <w:tab w:val="left" w:pos="0"/>
        </w:tabs>
        <w:ind w:left="707" w:hanging="283"/>
      </w:pPr>
    </w:p>
    <w:p w:rsidR="00D40DE5" w:rsidRDefault="00D40DE5">
      <w:pPr>
        <w:pStyle w:val="a9"/>
        <w:tabs>
          <w:tab w:val="clear" w:pos="1260"/>
          <w:tab w:val="left" w:pos="0"/>
        </w:tabs>
        <w:ind w:left="707" w:hanging="283"/>
      </w:pPr>
    </w:p>
    <w:tbl>
      <w:tblPr>
        <w:tblW w:w="975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4247"/>
        <w:gridCol w:w="2594"/>
        <w:gridCol w:w="2206"/>
      </w:tblGrid>
      <w:tr w:rsidR="00D40DE5">
        <w:tc>
          <w:tcPr>
            <w:tcW w:w="702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7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Наименование мероприятия</w:t>
            </w:r>
          </w:p>
        </w:tc>
        <w:tc>
          <w:tcPr>
            <w:tcW w:w="2594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Ответственный исполнитель</w:t>
            </w:r>
          </w:p>
        </w:tc>
        <w:tc>
          <w:tcPr>
            <w:tcW w:w="2206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Срок исполнения</w:t>
            </w:r>
          </w:p>
        </w:tc>
      </w:tr>
      <w:tr w:rsidR="00D40DE5">
        <w:tc>
          <w:tcPr>
            <w:tcW w:w="702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1.</w:t>
            </w:r>
          </w:p>
        </w:tc>
        <w:tc>
          <w:tcPr>
            <w:tcW w:w="4247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proofErr w:type="gramStart"/>
            <w:r>
              <w:t>Размещение на официальном сайте администрации Анучинского муниципального района перечня и текстов правовых актов, содержащих обязательные требования,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района, внесенных изменений в действующие муниципальные правовые акты.</w:t>
            </w:r>
            <w:proofErr w:type="gramEnd"/>
          </w:p>
        </w:tc>
        <w:tc>
          <w:tcPr>
            <w:tcW w:w="2594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администрация Анучинского муниципального района</w:t>
            </w:r>
          </w:p>
          <w:p w:rsidR="00D40DE5" w:rsidRDefault="00463993">
            <w:pPr>
              <w:pStyle w:val="af1"/>
              <w:spacing w:after="283"/>
              <w:jc w:val="center"/>
            </w:pPr>
            <w: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Постоянно</w:t>
            </w:r>
          </w:p>
        </w:tc>
      </w:tr>
      <w:tr w:rsidR="00D40DE5">
        <w:tc>
          <w:tcPr>
            <w:tcW w:w="702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2.</w:t>
            </w:r>
          </w:p>
        </w:tc>
        <w:tc>
          <w:tcPr>
            <w:tcW w:w="4247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proofErr w:type="gramStart"/>
            <w:r>
              <w:t xml:space="preserve">Информирование юридических лиц, индивидуальных предпринимателей по вопросам соблюдения обязательных требований, установленных 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      </w:r>
            <w:r>
              <w:lastRenderedPageBreak/>
              <w:t>полезных ископаемых, посредством проведения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2594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lastRenderedPageBreak/>
              <w:t>администрация Анучинского муниципального района</w:t>
            </w:r>
          </w:p>
          <w:p w:rsidR="00D40DE5" w:rsidRDefault="00463993">
            <w:pPr>
              <w:pStyle w:val="af1"/>
              <w:spacing w:after="283"/>
              <w:jc w:val="center"/>
            </w:pPr>
            <w: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Постоянно</w:t>
            </w:r>
          </w:p>
        </w:tc>
      </w:tr>
      <w:tr w:rsidR="00D40DE5">
        <w:tc>
          <w:tcPr>
            <w:tcW w:w="702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lastRenderedPageBreak/>
              <w:t>3.</w:t>
            </w:r>
          </w:p>
        </w:tc>
        <w:tc>
          <w:tcPr>
            <w:tcW w:w="4247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proofErr w:type="gramStart"/>
            <w:r>
              <w:t>Обобщение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округа, размещение на официальном сайте администрации Анучинского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</w:t>
            </w:r>
            <w:proofErr w:type="gramEnd"/>
            <w:r>
              <w:t xml:space="preserve">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594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администрация Анучинского муниципального района</w:t>
            </w:r>
          </w:p>
          <w:p w:rsidR="00D40DE5" w:rsidRDefault="00463993">
            <w:pPr>
              <w:pStyle w:val="af1"/>
              <w:spacing w:after="283"/>
              <w:jc w:val="center"/>
            </w:pPr>
            <w: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В течение года (по мере необходимости)</w:t>
            </w:r>
          </w:p>
        </w:tc>
      </w:tr>
      <w:tr w:rsidR="00D40DE5">
        <w:tc>
          <w:tcPr>
            <w:tcW w:w="702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4.</w:t>
            </w:r>
          </w:p>
        </w:tc>
        <w:tc>
          <w:tcPr>
            <w:tcW w:w="4247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 xml:space="preserve">Выдача предостережений о недопустимости нарушения обязательных требований, установленных законодательством РФ, Приморского края в области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</w:t>
            </w:r>
          </w:p>
        </w:tc>
        <w:tc>
          <w:tcPr>
            <w:tcW w:w="2594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администрация Анучинского муниципального района</w:t>
            </w:r>
          </w:p>
          <w:p w:rsidR="00D40DE5" w:rsidRDefault="00463993">
            <w:pPr>
              <w:pStyle w:val="af1"/>
              <w:spacing w:after="283"/>
              <w:jc w:val="center"/>
            </w:pPr>
            <w: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В течение года (по мере необходимости)</w:t>
            </w:r>
          </w:p>
        </w:tc>
      </w:tr>
      <w:tr w:rsidR="00D40DE5">
        <w:tc>
          <w:tcPr>
            <w:tcW w:w="702" w:type="dxa"/>
            <w:vAlign w:val="center"/>
          </w:tcPr>
          <w:p w:rsidR="00D40DE5" w:rsidRDefault="00463993">
            <w:pPr>
              <w:pStyle w:val="af1"/>
              <w:spacing w:after="283"/>
              <w:jc w:val="center"/>
            </w:pPr>
            <w:r>
              <w:t>5.</w:t>
            </w:r>
          </w:p>
        </w:tc>
        <w:tc>
          <w:tcPr>
            <w:tcW w:w="4247" w:type="dxa"/>
            <w:vAlign w:val="center"/>
          </w:tcPr>
          <w:p w:rsidR="00D40DE5" w:rsidRDefault="00463993">
            <w:pPr>
              <w:pStyle w:val="af1"/>
              <w:spacing w:after="150"/>
              <w:rPr>
                <w:sz w:val="28"/>
              </w:rPr>
            </w:pPr>
            <w:r>
              <w:rPr>
                <w:szCs w:val="26"/>
              </w:rPr>
              <w:t xml:space="preserve">Разработка и утверждение Программы профилактики нарушений обязательных требований, при осуществлении муниципального контроля на 2021 год </w:t>
            </w:r>
          </w:p>
        </w:tc>
        <w:tc>
          <w:tcPr>
            <w:tcW w:w="2594" w:type="dxa"/>
            <w:vAlign w:val="center"/>
          </w:tcPr>
          <w:p w:rsidR="00D40DE5" w:rsidRDefault="00463993">
            <w:pPr>
              <w:pStyle w:val="af1"/>
              <w:spacing w:after="150"/>
              <w:rPr>
                <w:sz w:val="28"/>
              </w:rPr>
            </w:pPr>
            <w:r>
              <w:rPr>
                <w:szCs w:val="26"/>
              </w:rPr>
              <w:t>до 20.12.2020</w:t>
            </w:r>
          </w:p>
        </w:tc>
        <w:tc>
          <w:tcPr>
            <w:tcW w:w="2206" w:type="dxa"/>
            <w:vAlign w:val="center"/>
          </w:tcPr>
          <w:p w:rsidR="00D40DE5" w:rsidRDefault="00463993">
            <w:pPr>
              <w:pStyle w:val="af1"/>
              <w:spacing w:after="150"/>
              <w:rPr>
                <w:sz w:val="28"/>
              </w:rPr>
            </w:pPr>
            <w:r>
              <w:rPr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D40DE5" w:rsidRDefault="00D40DE5">
      <w:pPr>
        <w:tabs>
          <w:tab w:val="left" w:pos="0"/>
        </w:tabs>
        <w:ind w:left="707" w:hanging="283"/>
      </w:pPr>
    </w:p>
    <w:p w:rsidR="00D40DE5" w:rsidRDefault="00D40DE5">
      <w:pPr>
        <w:pStyle w:val="a9"/>
        <w:tabs>
          <w:tab w:val="clear" w:pos="1260"/>
          <w:tab w:val="left" w:pos="0"/>
        </w:tabs>
        <w:ind w:left="707" w:hanging="283"/>
      </w:pPr>
    </w:p>
    <w:p w:rsidR="00D40DE5" w:rsidRDefault="00D40DE5">
      <w:pPr>
        <w:pStyle w:val="a9"/>
        <w:tabs>
          <w:tab w:val="clear" w:pos="1260"/>
          <w:tab w:val="left" w:pos="0"/>
        </w:tabs>
        <w:ind w:left="707" w:hanging="283"/>
      </w:pPr>
    </w:p>
    <w:p w:rsidR="00D40DE5" w:rsidRDefault="00D40DE5">
      <w:pPr>
        <w:pStyle w:val="a9"/>
        <w:tabs>
          <w:tab w:val="clear" w:pos="1260"/>
          <w:tab w:val="left" w:pos="0"/>
        </w:tabs>
        <w:ind w:left="707" w:hanging="283"/>
      </w:pPr>
    </w:p>
    <w:p w:rsidR="00D40DE5" w:rsidRDefault="00D40DE5">
      <w:pPr>
        <w:pStyle w:val="a9"/>
        <w:tabs>
          <w:tab w:val="clear" w:pos="1260"/>
          <w:tab w:val="left" w:pos="0"/>
        </w:tabs>
        <w:ind w:left="707" w:hanging="283"/>
      </w:pPr>
    </w:p>
    <w:p w:rsidR="00D40DE5" w:rsidRDefault="00D40DE5">
      <w:pPr>
        <w:pStyle w:val="a9"/>
        <w:tabs>
          <w:tab w:val="clear" w:pos="1260"/>
          <w:tab w:val="left" w:pos="0"/>
        </w:tabs>
        <w:ind w:left="707" w:hanging="283"/>
      </w:pPr>
    </w:p>
    <w:p w:rsidR="00D40DE5" w:rsidRDefault="00D40DE5">
      <w:pPr>
        <w:pStyle w:val="a9"/>
        <w:tabs>
          <w:tab w:val="clear" w:pos="1260"/>
          <w:tab w:val="left" w:pos="0"/>
        </w:tabs>
        <w:ind w:left="707" w:hanging="283"/>
      </w:pPr>
    </w:p>
    <w:p w:rsidR="00D40DE5" w:rsidRDefault="00D40DE5">
      <w:pPr>
        <w:shd w:val="clear" w:color="auto" w:fill="FFFFFF"/>
        <w:tabs>
          <w:tab w:val="left" w:pos="0"/>
        </w:tabs>
        <w:ind w:left="771"/>
        <w:jc w:val="center"/>
        <w:rPr>
          <w:rStyle w:val="a6"/>
          <w:rFonts w:eastAsia="Calibri"/>
          <w:color w:val="282828"/>
          <w:sz w:val="28"/>
          <w:vertAlign w:val="subscript"/>
          <w:lang w:eastAsia="en-US"/>
        </w:rPr>
      </w:pPr>
    </w:p>
    <w:p w:rsidR="00D40DE5" w:rsidRDefault="00D40DE5">
      <w:pPr>
        <w:pStyle w:val="a9"/>
        <w:tabs>
          <w:tab w:val="clear" w:pos="1260"/>
          <w:tab w:val="left" w:pos="0"/>
        </w:tabs>
        <w:ind w:left="771"/>
        <w:rPr>
          <w:rFonts w:eastAsia="Calibri"/>
          <w:b/>
          <w:bCs/>
          <w:color w:val="282828"/>
          <w:sz w:val="28"/>
          <w:vertAlign w:val="subscript"/>
          <w:lang w:eastAsia="en-US"/>
        </w:rPr>
      </w:pPr>
    </w:p>
    <w:sectPr w:rsidR="00D40DE5" w:rsidSect="00463993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570"/>
    <w:multiLevelType w:val="multilevel"/>
    <w:tmpl w:val="5A502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336F7E"/>
    <w:multiLevelType w:val="multilevel"/>
    <w:tmpl w:val="EFDA0018"/>
    <w:lvl w:ilvl="0">
      <w:start w:val="1"/>
      <w:numFmt w:val="decimal"/>
      <w:lvlText w:val="%1."/>
      <w:lvlJc w:val="left"/>
      <w:pPr>
        <w:tabs>
          <w:tab w:val="num" w:pos="347"/>
        </w:tabs>
        <w:ind w:left="347" w:hanging="283"/>
      </w:p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DE5"/>
    <w:rsid w:val="00334E98"/>
    <w:rsid w:val="00463993"/>
    <w:rsid w:val="00D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9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f2"/>
  </w:style>
  <w:style w:type="paragraph" w:customStyle="1" w:styleId="af4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3201-94A9-4020-8023-ACF2B412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RoseychukEV</cp:lastModifiedBy>
  <cp:revision>53</cp:revision>
  <cp:lastPrinted>2020-04-01T17:47:00Z</cp:lastPrinted>
  <dcterms:created xsi:type="dcterms:W3CDTF">2019-07-22T12:06:00Z</dcterms:created>
  <dcterms:modified xsi:type="dcterms:W3CDTF">2020-12-10T09:05:00Z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