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6.png" ContentType="image/png"/>
  <Override PartName="/word/media/image5.jpeg" ContentType="image/jpeg"/>
  <Override PartName="/word/media/image4.jpeg" ContentType="image/jpeg"/>
  <Override PartName="/word/media/image2.wmf" ContentType="image/x-wmf"/>
  <Override PartName="/word/media/image3.wmf" ContentType="image/x-wmf"/>
  <Override PartName="/word/media/image15.png" ContentType="image/png"/>
  <Override PartName="/word/media/image1.wmf" ContentType="image/x-wmf"/>
  <Override PartName="/word/media/image7.png" ContentType="image/png"/>
  <Override PartName="/word/media/image8.png" ContentType="image/png"/>
  <Override PartName="/word/media/image14.jpeg" ContentType="image/jpeg"/>
  <Override PartName="/word/media/image9.jpeg" ContentType="image/jpeg"/>
  <Override PartName="/word/media/image12.png" ContentType="image/png"/>
  <Override PartName="/word/media/image16.jpeg" ContentType="image/jpeg"/>
  <Override PartName="/word/media/image13.jpeg" ContentType="image/jpeg"/>
  <Override PartName="/word/media/image10.png" ContentType="image/png"/>
  <Override PartName="/word/media/image1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andard"/>
        <w:spacing w:before="12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drawing>
          <wp:inline distT="0" distB="0" distL="0" distR="0">
            <wp:extent cx="3083560" cy="1455420"/>
            <wp:effectExtent l="0" t="0" r="0" b="0"/>
            <wp:docPr id="1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Cs/>
          <w:color w:val="auto"/>
          <w:sz w:val="16"/>
          <w:szCs w:val="16"/>
        </w:rPr>
        <w:t>ОБРАЗЕЦ</w:t>
      </w:r>
      <w:r>
        <w:rPr>
          <w:rFonts w:cs="Calibri" w:ascii="Calibri" w:hAnsi="Calibri" w:asciiTheme="minorHAnsi" w:cstheme="minorHAnsi" w:hAnsiTheme="minorHAnsi"/>
          <w:i/>
          <w:iCs/>
          <w:color w:val="auto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заполнения </w:t>
      </w:r>
      <w:r>
        <w:rPr>
          <w:rFonts w:cs="Calibri" w:ascii="Calibri" w:hAnsi="Calibri" w:asciiTheme="minorHAnsi" w:cstheme="minorHAnsi" w:hAnsiTheme="minorHAnsi"/>
          <w:b/>
          <w:i/>
          <w:color w:val="auto"/>
          <w:sz w:val="16"/>
          <w:szCs w:val="16"/>
        </w:rPr>
        <w:t>Подраздела 3.4.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  <w:u w:val="single"/>
        </w:rPr>
        <w:t>«Утилитарные цифровые права»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(в данном образце используются сведения за 2020 год)</w:t>
      </w:r>
    </w:p>
    <w:p>
      <w:pPr>
        <w:pStyle w:val="Standard"/>
        <w:spacing w:before="12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drawing>
          <wp:inline distT="0" distB="0" distL="0" distR="0">
            <wp:extent cx="3083560" cy="1223645"/>
            <wp:effectExtent l="0" t="0" r="0" b="0"/>
            <wp:docPr id="2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Cs/>
          <w:color w:val="auto"/>
          <w:sz w:val="16"/>
          <w:szCs w:val="16"/>
        </w:rPr>
        <w:t xml:space="preserve">ОБРАЗЕЦ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заполнения </w:t>
      </w:r>
      <w:r>
        <w:rPr>
          <w:rFonts w:cs="Calibri" w:ascii="Calibri" w:hAnsi="Calibri" w:asciiTheme="minorHAnsi" w:cstheme="minorHAnsi" w:hAnsiTheme="minorHAnsi"/>
          <w:b/>
          <w:i/>
          <w:color w:val="auto"/>
          <w:sz w:val="16"/>
          <w:szCs w:val="16"/>
        </w:rPr>
        <w:t>Подраздела 3.5.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  <w:u w:val="single"/>
        </w:rPr>
        <w:t>«Цифровая валюта»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(в данном образце используются сведения за 2020 год)</w:t>
      </w:r>
    </w:p>
    <w:p>
      <w:pPr>
        <w:pStyle w:val="Standard"/>
        <w:spacing w:before="12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drawing>
          <wp:inline distT="0" distB="0" distL="0" distR="0">
            <wp:extent cx="3083560" cy="859155"/>
            <wp:effectExtent l="0" t="0" r="0" b="0"/>
            <wp:docPr id="3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РАЗДЕЛ 4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«Сведения о счетах в банках»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(пп. 146 – 169 Методических рекомендаций)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u w:val="single"/>
        </w:rPr>
        <w:t>Необходимо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запросить в каждом банке, клиентом которого Вы являетесь, справку о наличии счетов и остатке на них денежных средств по состоянию на 31 декабря 2022 года.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u w:val="single"/>
        </w:rPr>
        <w:t>Вспомните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, заключали ли Вы ранее кредитные договоры с банками, приобретали ли в «кредит» бытовую технику, одежду и т.д. Возможно, счет в банке не закрыт.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В разделе 4 указываются сведения о действующих счетах, открытых в банках по состоянию на 31 декабря 2022 года.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u w:val="single"/>
        </w:rPr>
        <w:t>Обратите внимание: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счета, </w:t>
      </w: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</w:rPr>
        <w:t>закрытые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в 2022 (до 31 декабря 2022 года) отражать в справке не нужно (</w:t>
      </w: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u w:val="single"/>
        </w:rPr>
        <w:t>НО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, по ним может быть получен доход в виде процентов по вкладу (или капитализации), который необходимо отразить в разделе 1 справки.</w:t>
      </w:r>
    </w:p>
    <w:p>
      <w:pPr>
        <w:pStyle w:val="Standard"/>
        <w:spacing w:before="120" w:after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Standard"/>
        <w:spacing w:before="120" w:after="0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РАЗДЕЛ 5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«Сведения о ценных бумагах и участии в коммерческих организациях и фондах»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(пп. 170 – 181 Методических рекомендаций)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Указываются сведения об имеющихся ценных бумагах, долях участия в уставных капиталах коммерческих организаций и фондах.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Ценные бумаги, переданные в доверительное управление, также подлежат отражению.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Чтобы заполнить данный раздел, Вам следует заказать подтверждающие документы в организации, где размещаются Ваши ценные бумаги и сведения об участии в организации.</w:t>
      </w:r>
    </w:p>
    <w:p>
      <w:pPr>
        <w:pStyle w:val="Standard"/>
        <w:spacing w:before="120" w:after="0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РАЗДЕЛ 6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«Сведения Об обязательствах имущественного характера»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(пп. 182 – 205 Методических рекомендаций)</w:t>
      </w:r>
    </w:p>
    <w:p>
      <w:pPr>
        <w:pStyle w:val="Standard"/>
        <w:spacing w:before="120" w:after="0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1057910</wp:posOffset>
                </wp:positionH>
                <wp:positionV relativeFrom="paragraph">
                  <wp:posOffset>74295</wp:posOffset>
                </wp:positionV>
                <wp:extent cx="2122805" cy="1090295"/>
                <wp:effectExtent l="0" t="0" r="0" b="0"/>
                <wp:wrapNone/>
                <wp:docPr id="4" name="Надпись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20" cy="109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Необходимо заполнить, если есть имущество в пользовании (а не в собственности) или заключен договор долевого участия и объект еще не передан Вам, а также если Вы (или супруг(а) кому-либо должны или Вам (супругу) кто-либо должен. и сумма долга составляет более 500 000 рублей.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1" path="m0,0l-2147483645,0l-2147483645,-2147483646l0,-2147483646xe" fillcolor="white" stroked="f" o:allowincell="f" style="position:absolute;margin-left:83.3pt;margin-top:5.85pt;width:167.1pt;height:85.8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andard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6"/>
                          <w:szCs w:val="16"/>
                        </w:rPr>
                        <w:t>Необходимо заполнить, если есть имущество в пользовании (а не в собственности) или заключен договор долевого участия и объект еще не передан Вам, а также если Вы (или супруг(а) кому-либо должны или Вам (супругу) кто-либо должен. и сумма долга составляет более 500 000 рублей.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1007745" cy="1007745"/>
            <wp:effectExtent l="0" t="0" r="0" b="0"/>
            <wp:docPr id="6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120" w:after="0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РАЗДЕЛ 7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(пп. 206 – 221 Методических рекомендаций)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</w:rPr>
        <w:t>Следует заполнить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, если в 2022 году Вами было отчуждено имущество в результате безвозмездной сделки, к примеру, если Вы подарили гараж или перераспределили доли в праве собственности н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а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жило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е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помещени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е,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приобретенно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е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с использованием материнского капитала.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 xml:space="preserve">Представление заведомо ложных сведений о доходах, расходах, об имуществе и обязательствах имущественного характера влечет ответственность в соответствии с законодательством Российской Федерации. 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Непредставление сведений о доходах, расходах, об имуществе и обязательствах имущественного характера влечет освобождение от занимаемой должности.</w:t>
      </w:r>
    </w:p>
    <w:p>
      <w:pPr>
        <w:pStyle w:val="Standard"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/>
        <mc:AlternateContent>
          <mc:Choice Requires="wps">
            <w:drawing>
              <wp:anchor behindDoc="0" distT="0" distB="635" distL="0" distR="0" simplePos="0" locked="0" layoutInCell="0" allowOverlap="1" relativeHeight="34">
                <wp:simplePos x="0" y="0"/>
                <wp:positionH relativeFrom="column">
                  <wp:posOffset>619125</wp:posOffset>
                </wp:positionH>
                <wp:positionV relativeFrom="paragraph">
                  <wp:posOffset>1270</wp:posOffset>
                </wp:positionV>
                <wp:extent cx="2560955" cy="826770"/>
                <wp:effectExtent l="0" t="0" r="0" b="635"/>
                <wp:wrapNone/>
                <wp:docPr id="7" name="Надпись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040" cy="8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Консультации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по вопросам заполнения справок Вы можете получить в Департаменте по профилактике коррупционных и иных правонарушений Приморского края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по телефонам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5" path="m0,0l-2147483645,0l-2147483645,-2147483646l0,-2147483646xe" fillcolor="white" stroked="f" o:allowincell="f" style="position:absolute;margin-left:48.75pt;margin-top:0.1pt;width:201.6pt;height:65.0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andard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Консультации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8"/>
                          <w:szCs w:val="18"/>
                        </w:rPr>
                        <w:t xml:space="preserve"> по вопросам заполнения справок Вы можете получить в Департаменте по профилактике коррупционных и иных правонарушений Приморского края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8"/>
                          <w:szCs w:val="18"/>
                        </w:rPr>
                        <w:t>по телефонам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619760" cy="732155"/>
            <wp:effectExtent l="0" t="0" r="0" b="0"/>
            <wp:docPr id="9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0" wp14:anchorId="3A72B21F">
                <wp:simplePos x="0" y="0"/>
                <wp:positionH relativeFrom="column">
                  <wp:posOffset>1370965</wp:posOffset>
                </wp:positionH>
                <wp:positionV relativeFrom="paragraph">
                  <wp:posOffset>59055</wp:posOffset>
                </wp:positionV>
                <wp:extent cx="1809750" cy="693420"/>
                <wp:effectExtent l="0" t="0" r="0" b="0"/>
                <wp:wrapNone/>
                <wp:docPr id="10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20" cy="69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 (423) 236-27-23</w:t>
                            </w:r>
                          </w:p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 (423) 236-58-79</w:t>
                            </w:r>
                          </w:p>
                          <w:p>
                            <w:pPr>
                              <w:pStyle w:val="Style2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8 (423) 246-90-53</w:t>
                            </w:r>
                          </w:p>
                          <w:p>
                            <w:pPr>
                              <w:pStyle w:val="Style27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fillcolor="white" stroked="f" o:allowincell="f" style="position:absolute;margin-left:107.95pt;margin-top:4.65pt;width:142.45pt;height:54.55pt;mso-wrap-style:square;v-text-anchor:top" wp14:anchorId="3A72B21F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8 (423) 236-27-23</w:t>
                      </w:r>
                    </w:p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8 (423) 236-58-79</w:t>
                      </w:r>
                    </w:p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8 (423) 246-90-53</w:t>
                      </w:r>
                    </w:p>
                    <w:p>
                      <w:pPr>
                        <w:pStyle w:val="Style27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567690" cy="563880"/>
            <wp:effectExtent l="0" t="0" r="0" b="0"/>
            <wp:docPr id="12" name="Рисунок 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120" w:after="0"/>
        <w:jc w:val="center"/>
        <w:rPr>
          <w:rFonts w:ascii="Yu Gothic UI" w:hAnsi="Yu Gothic UI" w:eastAsia="Yu Gothic UI" w:cs="Cambria"/>
          <w:b/>
          <w:b/>
          <w:sz w:val="20"/>
          <w:szCs w:val="20"/>
        </w:rPr>
      </w:pPr>
      <w:r>
        <w:rPr>
          <w:rFonts w:eastAsia="Yu Gothic UI" w:cs="Cambria" w:ascii="Yu Gothic UI" w:hAnsi="Yu Gothic UI"/>
          <w:b/>
          <w:sz w:val="20"/>
          <w:szCs w:val="20"/>
        </w:rPr>
        <w:t>Департамент по профилактике коррупционных и иных правонарушений Приморского края</w:t>
      </w:r>
    </w:p>
    <w:p>
      <w:pPr>
        <w:pStyle w:val="Standard"/>
        <w:spacing w:lineRule="auto" w:line="144" w:before="120" w:after="0"/>
        <w:rPr>
          <w:rFonts w:ascii="Yu Gothic UI" w:hAnsi="Yu Gothic UI" w:eastAsia="Yu Gothic UI" w:cs="Cambria"/>
          <w:b/>
          <w:b/>
        </w:rPr>
      </w:pPr>
      <w:r>
        <w:rPr>
          <w:rFonts w:eastAsia="Yu Gothic UI" w:cs="Cambria" w:ascii="Yu Gothic UI" w:hAnsi="Yu Gothic UI"/>
          <w:b/>
        </w:rPr>
      </w:r>
    </w:p>
    <w:p>
      <w:pPr>
        <w:pStyle w:val="Standard"/>
        <w:spacing w:lineRule="auto" w:line="144"/>
        <w:rPr>
          <w:rFonts w:ascii="Yu Gothic UI" w:hAnsi="Yu Gothic UI" w:eastAsia="Yu Gothic UI" w:cs="Cambria"/>
          <w:b/>
          <w:b/>
        </w:rPr>
      </w:pPr>
      <w:r>
        <w:rPr>
          <w:rFonts w:eastAsia="Yu Gothic UI" w:cs="Cambria" w:ascii="Yu Gothic UI" w:hAnsi="Yu Gothic UI"/>
          <w:b/>
        </w:rPr>
      </w:r>
    </w:p>
    <w:p>
      <w:pPr>
        <w:pStyle w:val="Standard"/>
        <w:spacing w:before="120" w:after="0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drawing>
          <wp:inline distT="0" distB="0" distL="0" distR="0">
            <wp:extent cx="2747645" cy="3197225"/>
            <wp:effectExtent l="0" t="0" r="0" b="0"/>
            <wp:docPr id="13" name="Рисунок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120" w:after="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spacing w:before="120" w:after="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spacing w:lineRule="auto" w:line="192"/>
        <w:jc w:val="center"/>
        <w:rPr>
          <w:rFonts w:ascii="Yu Gothic UI Light" w:hAnsi="Yu Gothic UI Light" w:eastAsia="Yu Gothic UI Light" w:cs="Calibri" w:cstheme="minorHAnsi"/>
          <w:b/>
          <w:b/>
          <w:color w:val="FF6600"/>
          <w:spacing w:val="20"/>
          <w:sz w:val="48"/>
          <w:szCs w:val="48"/>
        </w:rPr>
      </w:pPr>
      <w:r>
        <w:rPr>
          <w:rFonts w:eastAsia="Yu Gothic UI Light" w:cs="Calibri" w:ascii="Yu Gothic UI Light" w:hAnsi="Yu Gothic UI Light" w:cstheme="minorHAnsi"/>
          <w:sz w:val="36"/>
          <w:szCs w:val="36"/>
        </w:rPr>
        <w:t xml:space="preserve">     </w:t>
      </w:r>
      <w:r>
        <w:rPr>
          <w:rFonts w:eastAsia="Yu Gothic UI Light" w:cs="Calibri" w:ascii="Yu Gothic UI Light" w:hAnsi="Yu Gothic UI Light" w:cstheme="minorHAnsi"/>
          <w:b/>
          <w:color w:val="FF6600"/>
          <w:spacing w:val="20"/>
          <w:sz w:val="44"/>
          <w:szCs w:val="48"/>
        </w:rPr>
        <w:t>ПАМЯТКА</w:t>
      </w:r>
    </w:p>
    <w:p>
      <w:pPr>
        <w:pStyle w:val="Standard"/>
        <w:spacing w:lineRule="auto" w:line="192"/>
        <w:jc w:val="center"/>
        <w:rPr>
          <w:rFonts w:ascii="Yu Gothic UI Light" w:hAnsi="Yu Gothic UI Light" w:eastAsia="Yu Gothic UI Light" w:cs="Calibri" w:cstheme="minorHAnsi"/>
          <w:b/>
          <w:b/>
          <w:color w:val="FF6600"/>
          <w:spacing w:val="20"/>
          <w:sz w:val="44"/>
          <w:szCs w:val="44"/>
        </w:rPr>
      </w:pPr>
      <w:r>
        <w:rPr>
          <w:rFonts w:eastAsia="Yu Gothic UI Light" w:cs="Calibri" w:cstheme="minorHAnsi" w:ascii="Yu Gothic UI Light" w:hAnsi="Yu Gothic UI Light"/>
          <w:b/>
          <w:color w:val="FF6600"/>
          <w:spacing w:val="20"/>
          <w:sz w:val="44"/>
          <w:szCs w:val="44"/>
        </w:rPr>
        <mc:AlternateContent>
          <mc:Choice Requires="wps">
            <w:drawing>
              <wp:anchor behindDoc="0" distT="635" distB="0" distL="0" distR="0" simplePos="0" locked="0" layoutInCell="0" allowOverlap="1" relativeHeight="38">
                <wp:simplePos x="0" y="0"/>
                <wp:positionH relativeFrom="column">
                  <wp:posOffset>161290</wp:posOffset>
                </wp:positionH>
                <wp:positionV relativeFrom="paragraph">
                  <wp:posOffset>74930</wp:posOffset>
                </wp:positionV>
                <wp:extent cx="3100070" cy="1755775"/>
                <wp:effectExtent l="0" t="635" r="0" b="0"/>
                <wp:wrapNone/>
                <wp:docPr id="14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960" cy="175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Yu Gothic UI Light" w:cs="Calibri" w:ascii="Yu Gothic UI Light" w:hAnsi="Yu Gothic UI Light" w:cstheme="minorHAnsi"/>
                                <w:b/>
                                <w:color w:val="000000"/>
                                <w:spacing w:val="6"/>
                                <w:sz w:val="28"/>
                                <w:szCs w:val="44"/>
                              </w:rPr>
                              <w:t xml:space="preserve">по заполнению справки о доходах, расходах, об имуществе 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Yu Gothic UI Light" w:cs="Calibri" w:ascii="Yu Gothic UI Light" w:hAnsi="Yu Gothic UI Light" w:cstheme="minorHAnsi"/>
                                <w:b/>
                                <w:color w:val="000000"/>
                                <w:spacing w:val="6"/>
                                <w:sz w:val="28"/>
                                <w:szCs w:val="44"/>
                              </w:rPr>
                              <w:t>и обязательствах имущественного характера за 2022 год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path="m0,0l-2147483645,0l-2147483645,-2147483646l0,-2147483646xe" fillcolor="white" stroked="f" o:allowincell="f" style="position:absolute;margin-left:12.7pt;margin-top:5.9pt;width:244.05pt;height:138.2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Yu Gothic UI Light" w:cs="Calibri" w:ascii="Yu Gothic UI Light" w:hAnsi="Yu Gothic UI Light" w:cstheme="minorHAnsi"/>
                          <w:b/>
                          <w:color w:val="000000"/>
                          <w:spacing w:val="6"/>
                          <w:sz w:val="28"/>
                          <w:szCs w:val="44"/>
                        </w:rPr>
                        <w:t xml:space="preserve">по заполнению справки о доходах, расходах, об имуществе </w:t>
                      </w:r>
                    </w:p>
                    <w:p>
                      <w:pPr>
                        <w:pStyle w:val="Standard"/>
                        <w:spacing w:lineRule="auto" w:line="24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Yu Gothic UI Light" w:cs="Calibri" w:ascii="Yu Gothic UI Light" w:hAnsi="Yu Gothic UI Light" w:cstheme="minorHAnsi"/>
                          <w:b/>
                          <w:color w:val="000000"/>
                          <w:spacing w:val="6"/>
                          <w:sz w:val="28"/>
                          <w:szCs w:val="44"/>
                        </w:rPr>
                        <w:t>и обязательствах имущественного характера за 2022 год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spacing w:lineRule="auto" w:line="192"/>
        <w:jc w:val="center"/>
        <w:rPr>
          <w:rFonts w:ascii="Yu Gothic UI Light" w:hAnsi="Yu Gothic UI Light" w:eastAsia="Yu Gothic UI Light" w:cs="Calibri" w:cstheme="minorHAnsi"/>
          <w:b/>
          <w:b/>
          <w:color w:val="FF6600"/>
          <w:spacing w:val="20"/>
          <w:sz w:val="44"/>
          <w:szCs w:val="44"/>
        </w:rPr>
      </w:pPr>
      <w:r>
        <w:rPr>
          <w:rFonts w:eastAsia="Yu Gothic UI Light" w:cs="Calibri" w:cstheme="minorHAnsi" w:ascii="Yu Gothic UI Light" w:hAnsi="Yu Gothic UI Light"/>
          <w:b/>
          <w:color w:val="FF6600"/>
          <w:spacing w:val="20"/>
          <w:sz w:val="44"/>
          <w:szCs w:val="44"/>
        </w:rPr>
      </w:r>
      <w:r>
        <w:br w:type="page"/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1 января 2023 года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стартовала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 xml:space="preserve"> декларационная кампания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. В рамках декларационной кампании государственные гражданские служащие Приморского края обязаны представить сведения о доходах, расходах, об имуществе и обязательствах имущественного характера не позднее 30 апреля 2023 года. Уточненные сведения представляются в течение мая этого года. Сведения представляются за отчетный период с 1 января по 31 декабря 2022 года.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</w:rPr>
        <w:t>Примечание: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лица, замещающие муниципальные должности Приморского края, представляют такие сведения не позднее 1 апреля 2023 года. Уточненные сведения представляются указанными лицами не позднее 1 мая 2023 года.</w:t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-88900</wp:posOffset>
                </wp:positionH>
                <wp:positionV relativeFrom="paragraph">
                  <wp:posOffset>203835</wp:posOffset>
                </wp:positionV>
                <wp:extent cx="1791335" cy="438785"/>
                <wp:effectExtent l="0" t="0" r="0" b="0"/>
                <wp:wrapNone/>
                <wp:docPr id="16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60" cy="43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Для достоверного заполнения Справки необходимо: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fillcolor="white" stroked="f" o:allowincell="f" style="position:absolute;margin-left:-7pt;margin-top:16.05pt;width:141pt;height:34.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andard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Для достоверного заполнения Справки необходимо: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1492250" cy="652145"/>
            <wp:effectExtent l="0" t="0" r="0" b="0"/>
            <wp:docPr id="18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1.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Ознакомиться с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Методическими рекомендациями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Минтруда РФ по заполнению справки в 2023 году: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16"/>
          <w:szCs w:val="16"/>
          <w:u w:val="single"/>
        </w:rPr>
      </w:pPr>
      <w:hyperlink r:id="rId10">
        <w:r>
          <w:rPr>
            <w:rFonts w:cs="Calibri" w:ascii="Calibri" w:hAnsi="Calibri" w:asciiTheme="minorHAnsi" w:cstheme="minorHAnsi" w:hAnsiTheme="minorHAnsi"/>
            <w:color w:val="000000" w:themeColor="text1"/>
            <w:sz w:val="16"/>
            <w:szCs w:val="16"/>
          </w:rPr>
          <w:t>https://mintrud.gov.ru/ministry/programms/anticorruption/9/5</w:t>
        </w:r>
      </w:hyperlink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2.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Скачать актуальную версию СПО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«Справки БК»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(версия — 2.5.2)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hyperlink r:id="rId11">
        <w:r>
          <w:rPr>
            <w:rFonts w:cs="Calibri" w:ascii="Calibri" w:hAnsi="Calibri" w:asciiTheme="minorHAnsi" w:cstheme="minorHAnsi" w:hAnsiTheme="minorHAnsi"/>
            <w:sz w:val="16"/>
            <w:szCs w:val="16"/>
            <w:u w:val="single"/>
          </w:rPr>
          <w:t>http://www.kremlin.ru/structure/additional/12</w:t>
        </w:r>
      </w:hyperlink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hyperlink r:id="rId12">
        <w:r>
          <w:rPr>
            <w:rFonts w:cs="Calibri" w:ascii="Calibri" w:hAnsi="Calibri" w:asciiTheme="minorHAnsi" w:cstheme="minorHAnsi" w:hAnsiTheme="minorHAnsi"/>
            <w:sz w:val="16"/>
            <w:szCs w:val="16"/>
            <w:u w:val="single"/>
          </w:rPr>
          <w:t>https://gossluzhba.gov.ru/anticorruption/spravki_bk</w:t>
        </w:r>
      </w:hyperlink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3.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Собрать необходимые достоверные документы для правильного заполнения Справки.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РАЗДЕЛ 1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«Сведения о доходах»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auto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  <w:u w:val="single"/>
        </w:rPr>
        <w:t xml:space="preserve">(пп.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56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  <w:u w:val="single"/>
        </w:rPr>
        <w:t>-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81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  <w:u w:val="single"/>
        </w:rPr>
        <w:t xml:space="preserve"> Методических рекомендаций)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Для того, чтобы правильно заполнить данный раздел, следует собрать сведения о доходах с места работы, в Социальном фонде РФ, в банках и иных организациях.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В данном разделе необходимо указать доходы, полученные по основному месту работы; от педагогической и научной деятельности; процент от вкладов в банках и иных кредитных организациях; от ценных бумаг и долей участия в коммерческих организациях; социальные выплаты; иные доходы.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В случае, если в отчетном периоде вы получили доход от продажи/сдачи в аренду жилья или другого недвижимого имущества, помимо суммы дохода нужно указать его местонахождение, вид собственности и площадь в квадратных метрах. То же самое касается продажи движимого имущества.</w:t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 wp14:anchorId="56A97E23">
                <wp:simplePos x="0" y="0"/>
                <wp:positionH relativeFrom="column">
                  <wp:posOffset>-6350</wp:posOffset>
                </wp:positionH>
                <wp:positionV relativeFrom="paragraph">
                  <wp:posOffset>218440</wp:posOffset>
                </wp:positionV>
                <wp:extent cx="2248535" cy="456565"/>
                <wp:effectExtent l="0" t="0" r="0" b="635"/>
                <wp:wrapNone/>
                <wp:docPr id="19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60" cy="45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both"/>
                              <w:rPr>
                                <w:rFonts w:ascii="Calibri" w:hAnsi="Calibri"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УФНС России </w:t>
                            </w:r>
                          </w:p>
                          <w:p>
                            <w:pPr>
                              <w:pStyle w:val="Standard"/>
                              <w:jc w:val="both"/>
                              <w:rPr>
                                <w:rFonts w:ascii="Calibri" w:hAnsi="Calibri"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по Приморскому краю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path="m0,0l-2147483645,0l-2147483645,-2147483646l0,-2147483646xe" fillcolor="white" stroked="f" o:allowincell="f" style="position:absolute;margin-left:-0.5pt;margin-top:17.2pt;width:177pt;height:35.9pt;mso-wrap-style:square;v-text-anchor:top" wp14:anchorId="56A97E23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andard"/>
                        <w:jc w:val="both"/>
                        <w:rPr>
                          <w:rFonts w:ascii="Calibri" w:hAnsi="Calibri"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УФНС России </w:t>
                      </w:r>
                    </w:p>
                    <w:p>
                      <w:pPr>
                        <w:pStyle w:val="Standard"/>
                        <w:jc w:val="both"/>
                        <w:rPr>
                          <w:rFonts w:ascii="Calibri" w:hAnsi="Calibri"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>по Приморскому краю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drawing>
          <wp:inline distT="0" distB="0" distL="0" distR="0">
            <wp:extent cx="830580" cy="830580"/>
            <wp:effectExtent l="0" t="0" r="0" b="0"/>
            <wp:docPr id="2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Справку о доходах 2-НДФЛ Вы можете взять либо по основному месту работы, либо на сайте ФНС России, либо в официальном приложении Налоги ФЛ в разделе </w:t>
      </w:r>
      <w:r>
        <w:rPr>
          <w:rFonts w:cs="Calibri" w:ascii="Calibri" w:hAnsi="Calibri" w:asciiTheme="minorHAnsi" w:cstheme="minorHAnsi" w:hAnsiTheme="minorHAnsi"/>
          <w:b/>
          <w:color w:val="auto"/>
          <w:sz w:val="16"/>
          <w:szCs w:val="16"/>
        </w:rPr>
        <w:t>«Доходы и вычеты»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.</w:t>
      </w:r>
    </w:p>
    <w:p>
      <w:pPr>
        <w:pStyle w:val="Aum3qi"/>
        <w:spacing w:beforeAutospacing="0" w:before="120" w:afterAutospacing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Информацию о доходах от ценных бумаг Вы можете получить  на  инвестиционной платформе, где размещены Ваши ценные бумаги.</w:t>
      </w:r>
    </w:p>
    <w:p>
      <w:pPr>
        <w:pStyle w:val="Default"/>
        <w:spacing w:before="120" w:after="60"/>
        <w:jc w:val="both"/>
        <w:rPr>
          <w:rFonts w:ascii="Calibri" w:hAnsi="Calibri" w:cs="Calibri" w:asciiTheme="minorHAnsi" w:cstheme="minorHAnsi" w:hAnsiTheme="minorHAnsi"/>
          <w:color w:val="auto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 xml:space="preserve">Для получения сведений о доходах от вкладов в банках и иных кредитных организациях, а также доходах от ценных бумаг и долей участия в коммерческих организациях Вы можете взять информацию из личного кабинета на сайте ФНС России в разделе </w:t>
      </w:r>
      <w:r>
        <w:rPr>
          <w:rFonts w:cs="Calibri" w:ascii="Calibri" w:hAnsi="Calibri" w:asciiTheme="minorHAnsi" w:cstheme="minorHAnsi" w:hAnsiTheme="minorHAnsi"/>
          <w:b/>
          <w:color w:val="auto"/>
          <w:sz w:val="16"/>
          <w:szCs w:val="16"/>
        </w:rPr>
        <w:t>«Доходы и вычеты»</w:t>
      </w:r>
      <w:r>
        <w:rPr>
          <w:rFonts w:cs="Calibri" w:ascii="Calibri" w:hAnsi="Calibri" w:asciiTheme="minorHAnsi" w:cstheme="minorHAnsi" w:hAnsiTheme="minorHAnsi"/>
          <w:color w:val="auto"/>
          <w:sz w:val="16"/>
          <w:szCs w:val="16"/>
        </w:rPr>
        <w:t>, либо обратиться в обслуживающий Ваши счета банк:</w:t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-104140</wp:posOffset>
                </wp:positionH>
                <wp:positionV relativeFrom="paragraph">
                  <wp:posOffset>111760</wp:posOffset>
                </wp:positionV>
                <wp:extent cx="1353185" cy="365125"/>
                <wp:effectExtent l="0" t="0" r="0" b="0"/>
                <wp:wrapNone/>
                <wp:docPr id="22" name="Надпись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240" cy="36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ПАО «Сбербанк»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5" path="m0,0l-2147483645,0l-2147483645,-2147483646l0,-2147483646xe" fillcolor="white" stroked="f" o:allowincell="f" style="position:absolute;margin-left:-8.2pt;margin-top:8.8pt;width:106.5pt;height:28.7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8"/>
                          <w:szCs w:val="18"/>
                        </w:rPr>
                        <w:t xml:space="preserve"> ПАО «Сбербанк»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1502410" cy="456565"/>
            <wp:effectExtent l="0" t="0" r="0" b="0"/>
            <wp:docPr id="24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В приложении Сбербанк Онлайн: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Откройте приложение → нажмите на карту → «Реквизиты и выписки» → «Выписки и справки» → «Сведения для госслужащих» → выберите отчётный период, отчётную дату → «Заказать».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В веб-версии Сбербанк Онлайн: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Зайдите в личный кабинет → наберите в строке поиска «Выписки и справки» → «Сведения для госслужащих» → выберите отчётный период, отчётную дату → «Заказать документ».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В офисе Сбербанка:</w:t>
      </w:r>
    </w:p>
    <w:p>
      <w:pPr>
        <w:pStyle w:val="Standard"/>
        <w:spacing w:before="0" w:after="6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Попросите сотрудника банка распечатать сведения для госслужащих.</w:t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-104140</wp:posOffset>
                </wp:positionH>
                <wp:positionV relativeFrom="paragraph">
                  <wp:posOffset>111760</wp:posOffset>
                </wp:positionV>
                <wp:extent cx="1454785" cy="365125"/>
                <wp:effectExtent l="0" t="0" r="0" b="0"/>
                <wp:wrapNone/>
                <wp:docPr id="25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60" cy="36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АО «Россельхозбанк»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path="m0,0l-2147483645,0l-2147483645,-2147483646l0,-2147483646xe" fillcolor="white" stroked="f" o:allowincell="f" style="position:absolute;margin-left:-8.2pt;margin-top:8.8pt;width:114.5pt;height:28.7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8"/>
                          <w:szCs w:val="18"/>
                        </w:rPr>
                        <w:t xml:space="preserve"> АО «Россельхозбанк»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1657350" cy="413385"/>
            <wp:effectExtent l="0" t="0" r="0" b="0"/>
            <wp:docPr id="2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spacing w:before="0" w:after="6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Откройте меню «Документы» → «Документы из Банка» → «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Выписки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». В правой части окна появится форма для указания реквизитов 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выписки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. Укажите интересующий вас период. Галочками отметьте счета, по которым Вы хотите получить </w:t>
      </w:r>
      <w:r>
        <w:rPr>
          <w:rFonts w:cs="Calibri" w:ascii="Calibri" w:hAnsi="Calibri" w:asciiTheme="minorHAnsi" w:cstheme="minorHAnsi" w:hAnsiTheme="minorHAnsi"/>
          <w:b/>
          <w:bCs/>
          <w:sz w:val="16"/>
          <w:szCs w:val="16"/>
        </w:rPr>
        <w:t>выписки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.</w:t>
      </w:r>
    </w:p>
    <w:p>
      <w:pPr>
        <w:pStyle w:val="Standard"/>
        <w:jc w:val="center"/>
        <w:rPr>
          <w:rStyle w:val="Aayyoo"/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mc:AlternateContent>
          <mc:Choice Requires="wps">
            <w:drawing>
              <wp:anchor behindDoc="0" distT="45085" distB="48895" distL="113665" distR="116205" simplePos="0" locked="0" layoutInCell="0" allowOverlap="1" relativeHeight="22">
                <wp:simplePos x="0" y="0"/>
                <wp:positionH relativeFrom="column">
                  <wp:posOffset>-57150</wp:posOffset>
                </wp:positionH>
                <wp:positionV relativeFrom="paragraph">
                  <wp:posOffset>65405</wp:posOffset>
                </wp:positionV>
                <wp:extent cx="1464945" cy="320675"/>
                <wp:effectExtent l="635" t="635" r="0" b="0"/>
                <wp:wrapSquare wrapText="bothSides"/>
                <wp:docPr id="28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840" cy="32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hAnsi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="Calibri"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 xml:space="preserve"> АО «Тинькофф Банк»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-4.5pt;margin-top:5.15pt;width:115.3pt;height:25.2pt;mso-wrap-style:square;v-text-anchor:top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 w:asciiTheme="minorHAnsi" w:hAnsiTheme="minorHAnsi"/>
                          <w:b/>
                          <w:color w:val="000000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="Calibri"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 xml:space="preserve"> АО «Тинькофф Банк»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inline distT="0" distB="0" distL="0" distR="0">
            <wp:extent cx="1528445" cy="377190"/>
            <wp:effectExtent l="0" t="0" r="0" b="0"/>
            <wp:docPr id="30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>
          <w:rStyle w:val="Aayyoo"/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spacing w:before="0" w:after="60"/>
        <w:jc w:val="both"/>
        <w:rPr>
          <w:rStyle w:val="Bkfqne"/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Aayyoo"/>
          <w:rFonts w:cs="Calibri" w:ascii="Calibri" w:hAnsi="Calibri" w:asciiTheme="minorHAnsi" w:cstheme="minorHAnsi" w:hAnsiTheme="minorHAnsi"/>
          <w:sz w:val="16"/>
          <w:szCs w:val="16"/>
        </w:rPr>
        <w:t>Для получения справки для госслужащих,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обратитесь в чат службы поддержки через мобильное приложение, либо личный кабинет на сайте, или позвоните по номеру </w:t>
      </w:r>
      <w:r>
        <w:rPr>
          <w:rStyle w:val="Bkfqne"/>
          <w:rFonts w:cs="Calibri" w:ascii="Calibri" w:hAnsi="Calibri" w:asciiTheme="minorHAnsi" w:cstheme="minorHAnsi" w:hAnsiTheme="minorHAnsi"/>
          <w:sz w:val="16"/>
          <w:szCs w:val="16"/>
        </w:rPr>
        <w:t>8 800 555-25-50.</w:t>
      </w:r>
    </w:p>
    <w:p>
      <w:pPr>
        <w:pStyle w:val="Standard"/>
        <w:jc w:val="right"/>
        <w:rPr>
          <w:rStyle w:val="Bkfqne"/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-53340</wp:posOffset>
                </wp:positionH>
                <wp:positionV relativeFrom="paragraph">
                  <wp:posOffset>161925</wp:posOffset>
                </wp:positionV>
                <wp:extent cx="2174240" cy="578485"/>
                <wp:effectExtent l="0" t="0" r="0" b="0"/>
                <wp:wrapNone/>
                <wp:docPr id="31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400" cy="57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rStyle w:val="Bkfqne"/>
                                <w:rFonts w:ascii="Calibri" w:hAnsi="Calibri" w:cs="Calibri"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kfqne"/>
                                <w:rFonts w:cs="Calibri"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Отделение Социального фонда России по Приморскому краю</w:t>
                            </w:r>
                          </w:p>
                          <w:p>
                            <w:pPr>
                              <w:pStyle w:val="Style27"/>
                              <w:rPr>
                                <w:rFonts w:ascii="Calibri" w:hAnsi="Calibri" w:cs="Calibri"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kfqne"/>
                                <w:rFonts w:cs="Calibri" w:ascii="Calibri" w:hAnsi="Calibri" w:ascii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(с 1 января 2023 года)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path="m0,0l-2147483645,0l-2147483645,-2147483646l0,-2147483646xe" fillcolor="white" stroked="f" o:allowincell="f" style="position:absolute;margin-left:-4.2pt;margin-top:12.75pt;width:171.15pt;height:45.5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rStyle w:val="Bkfqne"/>
                          <w:rFonts w:ascii="Calibri" w:hAnsi="Calibri" w:cs="Calibri"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Bkfqne"/>
                          <w:rFonts w:cs="Calibri"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>Отделение Социального фонда России по Приморскому краю</w:t>
                      </w:r>
                    </w:p>
                    <w:p>
                      <w:pPr>
                        <w:pStyle w:val="Style27"/>
                        <w:rPr>
                          <w:rFonts w:ascii="Calibri" w:hAnsi="Calibri" w:cs="Calibri"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Bkfqne"/>
                          <w:rFonts w:cs="Calibri" w:ascii="Calibri" w:hAnsi="Calibri" w:asciiTheme="minorHAnsi" w:hAnsiTheme="minorHAnsi"/>
                          <w:color w:val="000000"/>
                          <w:sz w:val="18"/>
                          <w:szCs w:val="18"/>
                        </w:rPr>
                        <w:t>(с 1 января 2023 года)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48030" cy="749300"/>
            <wp:effectExtent l="0" t="0" r="0" b="0"/>
            <wp:docPr id="33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4968" t="24680" r="49746" b="542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03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Aum3qi"/>
        <w:spacing w:beforeAutospacing="0" w:before="120" w:afterAutospacing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Bkfqne"/>
          <w:rFonts w:cs="Calibri" w:ascii="Calibri" w:hAnsi="Calibri" w:asciiTheme="minorHAnsi" w:cstheme="minorHAnsi" w:hAnsiTheme="minorHAnsi"/>
          <w:sz w:val="16"/>
          <w:szCs w:val="16"/>
        </w:rPr>
        <w:t xml:space="preserve">Документы, подтверждающие </w:t>
      </w:r>
      <w:r>
        <w:rPr>
          <w:rStyle w:val="Bkfqne"/>
          <w:rFonts w:cs="Calibri" w:ascii="Calibri" w:hAnsi="Calibri" w:asciiTheme="minorHAnsi" w:cstheme="minorHAnsi" w:hAnsiTheme="minorHAnsi"/>
          <w:b/>
          <w:i/>
          <w:sz w:val="16"/>
          <w:szCs w:val="16"/>
          <w:u w:val="single"/>
        </w:rPr>
        <w:t>социальные и пенсионные выплаты</w:t>
      </w:r>
      <w:r>
        <w:rPr>
          <w:rStyle w:val="Bkfqne"/>
          <w:rFonts w:cs="Calibri" w:ascii="Calibri" w:hAnsi="Calibri" w:asciiTheme="minorHAnsi" w:cstheme="minorHAnsi" w:hAnsiTheme="minorHAnsi"/>
          <w:sz w:val="16"/>
          <w:szCs w:val="16"/>
        </w:rPr>
        <w:t>, а также информацию об имеющихся за отчетный период</w:t>
      </w:r>
      <w:r>
        <w:rPr>
          <w:rStyle w:val="Bkfqne"/>
          <w:rFonts w:cs="Calibri" w:ascii="Calibri" w:hAnsi="Calibri" w:asciiTheme="minorHAnsi" w:cstheme="minorHAnsi" w:hAnsiTheme="minorHAnsi"/>
          <w:b/>
          <w:i/>
          <w:sz w:val="16"/>
          <w:szCs w:val="16"/>
        </w:rPr>
        <w:t xml:space="preserve"> </w:t>
      </w:r>
      <w:r>
        <w:rPr>
          <w:rStyle w:val="Bkfqne"/>
          <w:rFonts w:cs="Calibri" w:ascii="Calibri" w:hAnsi="Calibri" w:asciiTheme="minorHAnsi" w:cstheme="minorHAnsi" w:hAnsiTheme="minorHAnsi"/>
          <w:b/>
          <w:i/>
          <w:sz w:val="16"/>
          <w:szCs w:val="16"/>
          <w:u w:val="single"/>
        </w:rPr>
        <w:t>больничных</w:t>
      </w:r>
      <w:r>
        <w:rPr>
          <w:rStyle w:val="Bkfqne"/>
          <w:rFonts w:cs="Calibri" w:ascii="Calibri" w:hAnsi="Calibri" w:asciiTheme="minorHAnsi" w:cstheme="minorHAnsi" w:hAnsiTheme="minorHAnsi"/>
          <w:sz w:val="16"/>
          <w:szCs w:val="16"/>
        </w:rPr>
        <w:t xml:space="preserve"> Вы можете получить в региональном отделении Социального фонда России.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РАЗДЕЛ 2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«Сведения о расходах»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(пп. 82 – 96 Методических рекомендаций)</w:t>
      </w:r>
    </w:p>
    <w:p>
      <w:pPr>
        <w:pStyle w:val="Aum3qi"/>
        <w:spacing w:before="280" w:after="280"/>
        <w:jc w:val="center"/>
        <w:rPr>
          <w:rStyle w:val="Bkfqne"/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919480</wp:posOffset>
                </wp:positionH>
                <wp:positionV relativeFrom="paragraph">
                  <wp:posOffset>76200</wp:posOffset>
                </wp:positionV>
                <wp:extent cx="2263775" cy="1847215"/>
                <wp:effectExtent l="0" t="0" r="0" b="635"/>
                <wp:wrapNone/>
                <wp:docPr id="34" name="Надпись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680" cy="18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При заполнении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РАЗДЕЛА 2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«Сведения о расходах»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 представляется информация только в том случае, если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 (2019 - 2021). 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3" path="m0,0l-2147483645,0l-2147483645,-2147483646l0,-2147483646xe" fillcolor="white" stroked="f" o:allowincell="f" style="position:absolute;margin-left:72.4pt;margin-top:6pt;width:178.2pt;height:145.4pt;mso-wrap-style:square;v-text-anchor:top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6"/>
                          <w:szCs w:val="16"/>
                        </w:rPr>
                        <w:t xml:space="preserve">При заполнении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РАЗДЕЛА 2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6"/>
                          <w:szCs w:val="16"/>
                          <w:u w:val="single"/>
                        </w:rPr>
                        <w:t>«Сведения о расходах»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6"/>
                          <w:szCs w:val="16"/>
                        </w:rPr>
                        <w:t xml:space="preserve"> представляется информация только в том случае, если совершена сделка или совершены сделки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 (2019 - 2021).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Aum3qi"/>
        <w:spacing w:before="280" w:after="28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drawing>
          <wp:inline distT="0" distB="0" distL="0" distR="0">
            <wp:extent cx="773430" cy="1270000"/>
            <wp:effectExtent l="0" t="0" r="0" b="0"/>
            <wp:docPr id="36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</w:rPr>
        <w:t>РАЗДЕЛ 3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«Сведения об имуществе»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(пп. 97 – 145 Методических рекомендаций)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u w:val="single"/>
        </w:rPr>
      </w:pPr>
      <w:r>
        <w:rPr>
          <w:rFonts w:cs="Calibri" w:cstheme="minorHAnsi" w:ascii="Calibri" w:hAnsi="Calibri"/>
          <w:sz w:val="16"/>
          <w:szCs w:val="16"/>
          <w:u w:val="single"/>
        </w:rPr>
        <mc:AlternateContent>
          <mc:Choice Requires="wps">
            <w:drawing>
              <wp:anchor behindDoc="0" distT="635" distB="0" distL="635" distR="0" simplePos="0" locked="0" layoutInCell="0" allowOverlap="1" relativeHeight="28" wp14:anchorId="1B14E7DD">
                <wp:simplePos x="0" y="0"/>
                <wp:positionH relativeFrom="column">
                  <wp:posOffset>-71120</wp:posOffset>
                </wp:positionH>
                <wp:positionV relativeFrom="paragraph">
                  <wp:posOffset>92710</wp:posOffset>
                </wp:positionV>
                <wp:extent cx="1997075" cy="559435"/>
                <wp:effectExtent l="635" t="635" r="0" b="0"/>
                <wp:wrapNone/>
                <wp:docPr id="37" name="Надпись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20" cy="55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rFonts w:ascii="Calibri" w:hAnsi="Calibri" w:cs="Calibri" w:asciiTheme="minorHAnsi" w:cs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8"/>
                                <w:szCs w:val="18"/>
                              </w:rPr>
                              <w:t>Филиал ФГБУ «ФКП Росреестра» по Приморскому краю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7" path="m0,0l-2147483645,0l-2147483645,-2147483646l0,-2147483646xe" fillcolor="white" stroked="f" o:allowincell="f" style="position:absolute;margin-left:-5.6pt;margin-top:7.3pt;width:157.2pt;height:44pt;mso-wrap-style:square;v-text-anchor:top" wp14:anchorId="1B14E7DD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rFonts w:ascii="Calibri" w:hAnsi="Calibri" w:cs="Calibri" w:asciiTheme="minorHAnsi" w:cs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8"/>
                          <w:szCs w:val="18"/>
                        </w:rPr>
                        <w:t>Филиал ФГБУ «ФКП Росреестра» по Приморскому краю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jc w:val="righ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w:drawing>
          <wp:inline distT="0" distB="0" distL="0" distR="0">
            <wp:extent cx="1171575" cy="475615"/>
            <wp:effectExtent l="0" t="0" r="0" b="0"/>
            <wp:docPr id="3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Для заполнения </w:t>
      </w: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</w:rPr>
        <w:t>Подраздела 3.1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«Недвижимое имущество»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Вам следует обратиться в региональный филиал Росреестра для получения выписки о зарегистрированных объектах недвижимости.</w:t>
      </w:r>
    </w:p>
    <w:p>
      <w:pPr>
        <w:pStyle w:val="Standard"/>
        <w:spacing w:before="12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Для заполнения </w:t>
      </w: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</w:rPr>
        <w:t>Подраздела 3.2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</w:rPr>
        <w:t>«Транспортные средства»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следует обратиться в следующие организации:</w:t>
      </w:r>
    </w:p>
    <w:p>
      <w:pPr>
        <w:pStyle w:val="Standard"/>
        <w:numPr>
          <w:ilvl w:val="0"/>
          <w:numId w:val="1"/>
        </w:numPr>
        <w:spacing w:before="120" w:after="0"/>
        <w:ind w:left="357" w:hanging="357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ГИМС МЧС России по Приморскому краю (для информации по маломерным судам);</w:t>
      </w:r>
    </w:p>
    <w:p>
      <w:pPr>
        <w:pStyle w:val="Standard"/>
        <w:numPr>
          <w:ilvl w:val="0"/>
          <w:numId w:val="1"/>
        </w:numPr>
        <w:spacing w:before="120" w:after="0"/>
        <w:ind w:left="357" w:hanging="357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PT Astra Serif" w:ascii="Calibri" w:hAnsi="Calibri" w:asciiTheme="minorHAnsi" w:hAnsiTheme="minorHAnsi"/>
          <w:kern w:val="0"/>
          <w:sz w:val="16"/>
          <w:szCs w:val="16"/>
        </w:rPr>
        <w:t>Государственная инспекция по надзору за техническим состоянием и эксплуатацией самоходных машин и других видов техники, аттракционов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 Приморского края (Гостехнадзор) (для информации по вездеходным транспортным средствам, внедорожным, мототранспортным средствам);</w:t>
      </w:r>
    </w:p>
    <w:p>
      <w:pPr>
        <w:pStyle w:val="Standard"/>
        <w:numPr>
          <w:ilvl w:val="0"/>
          <w:numId w:val="1"/>
        </w:numPr>
        <w:spacing w:before="120" w:after="0"/>
        <w:ind w:left="357" w:hanging="357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МОРАС ГИБДД  УМВД России по Приморскому краю по месту жительства (для информации по транспортным средствам)</w:t>
      </w:r>
      <w:bookmarkStart w:id="1" w:name="_Hlk125556661"/>
      <w:bookmarkEnd w:id="1"/>
      <w:r>
        <w:rPr>
          <w:rFonts w:cs="Calibri" w:ascii="Calibri" w:hAnsi="Calibri" w:asciiTheme="minorHAnsi" w:cstheme="minorHAnsi" w:hAnsiTheme="minorHAnsi"/>
          <w:sz w:val="16"/>
          <w:szCs w:val="16"/>
        </w:rPr>
        <w:t>.</w:t>
      </w:r>
    </w:p>
    <w:p>
      <w:pPr>
        <w:pStyle w:val="Standard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  <mc:AlternateContent>
          <mc:Choice Requires="wps">
            <w:drawing>
              <wp:anchor behindDoc="0" distT="635" distB="0" distL="0" distR="0" simplePos="0" locked="0" layoutInCell="0" allowOverlap="1" relativeHeight="32" wp14:anchorId="727D288D">
                <wp:simplePos x="0" y="0"/>
                <wp:positionH relativeFrom="column">
                  <wp:posOffset>1141095</wp:posOffset>
                </wp:positionH>
                <wp:positionV relativeFrom="paragraph">
                  <wp:posOffset>20320</wp:posOffset>
                </wp:positionV>
                <wp:extent cx="2030730" cy="1370965"/>
                <wp:effectExtent l="0" t="635" r="0" b="0"/>
                <wp:wrapNone/>
                <wp:docPr id="40" name="Надпись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60" cy="137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ОБРАЗЕЦ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заполнения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Подраздела 3.3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 «Цифровые финансовые активы, цифровые права, включающие одновременно цифровые финансовые активы и иные цифровые права» (в данном образце используются сведения за 2020 год)</w:t>
                            </w:r>
                          </w:p>
                          <w:p>
                            <w:pPr>
                              <w:pStyle w:val="Style27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both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i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на следующей странице →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9" path="m0,0l-2147483645,0l-2147483645,-2147483646l0,-2147483646xe" fillcolor="white" stroked="f" o:allowincell="f" style="position:absolute;margin-left:89.85pt;margin-top:1.6pt;width:159.85pt;height:107.9pt;mso-wrap-style:square;v-text-anchor:top" wp14:anchorId="727D288D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Cs/>
                          <w:color w:val="000000"/>
                          <w:sz w:val="16"/>
                          <w:szCs w:val="16"/>
                        </w:rPr>
                        <w:t>ОБРАЗЕЦ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6"/>
                          <w:szCs w:val="16"/>
                        </w:rPr>
                        <w:t xml:space="preserve">заполнения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  <w:t>Подраздела 3.3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  <w:sz w:val="16"/>
                          <w:szCs w:val="16"/>
                        </w:rPr>
                        <w:t xml:space="preserve"> «Цифровые финансовые активы, цифровые права, включающие одновременно цифровые финансовые активы и иные цифровые права» (в данном образце используются сведения за 2020 год)</w:t>
                      </w:r>
                    </w:p>
                    <w:p>
                      <w:pPr>
                        <w:pStyle w:val="Style27"/>
                        <w:jc w:val="both"/>
                        <w:rPr>
                          <w:rFonts w:ascii="Calibri" w:hAnsi="Calibri" w:cs="Calibri" w:asciiTheme="minorHAnsi" w:cs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cs="Calibri" w:cstheme="minorHAnsi" w:ascii="Calibri" w:hAnsi="Calibri"/>
                          <w:color w:val="000000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27"/>
                        <w:jc w:val="both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i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i/>
                          <w:color w:val="000000"/>
                          <w:sz w:val="16"/>
                          <w:szCs w:val="16"/>
                        </w:rPr>
                        <w:t>на следующей странице →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1092200" cy="1390015"/>
            <wp:effectExtent l="0" t="0" r="0" b="0"/>
            <wp:docPr id="42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21"/>
      <w:headerReference w:type="default" r:id="rId22"/>
      <w:footerReference w:type="even" r:id="rId23"/>
      <w:footerReference w:type="default" r:id="rId24"/>
      <w:type w:val="continuous"/>
      <w:pgSz w:orient="landscape" w:w="16838" w:h="11906"/>
      <w:pgMar w:left="567" w:right="567" w:gutter="0" w:header="57" w:top="567" w:footer="57" w:bottom="567"/>
      <w:cols w:num="3" w:space="566" w:equalWidth="true" w:sep="false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Franklin Gothic Book">
    <w:charset w:val="01"/>
    <w:family w:val="roman"/>
    <w:pitch w:val="variable"/>
  </w:font>
  <w:font w:name="Calibri">
    <w:charset w:val="01"/>
    <w:family w:val="roman"/>
    <w:pitch w:val="variable"/>
  </w:font>
  <w:font w:name="Yu Gothic UI">
    <w:charset w:val="01"/>
    <w:family w:val="roman"/>
    <w:pitch w:val="variable"/>
  </w:font>
  <w:font w:name="Yu Gothic UI Ligh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spacing w:before="120" w:after="0"/>
      <w:rPr>
        <w:color w:val="000000"/>
      </w:rPr>
    </w:pPr>
    <w:r>
      <w:rPr>
        <w:rFonts w:eastAsia="Yu Gothic UI" w:cs="Calibri" w:ascii="Yu Gothic UI" w:hAnsi="Yu Gothic UI" w:cstheme="minorHAnsi"/>
        <w:color w:val="000000" w:themeShade="bf"/>
        <w:sz w:val="16"/>
        <w:szCs w:val="16"/>
      </w:rPr>
      <w:t xml:space="preserve">                  </w:t>
    </w:r>
    <w:r>
      <w:rPr>
        <w:rFonts w:eastAsia="Yu Gothic UI" w:cs="Calibri" w:ascii="Yu Gothic UI" w:hAnsi="Yu Gothic UI" w:cstheme="minorHAnsi"/>
        <w:color w:val="000000" w:themeShade="bf"/>
        <w:sz w:val="16"/>
        <w:szCs w:val="16"/>
      </w:rPr>
      <w:t>Декларационная кампания 2023                                                      Декларационная кампания 2023                                                    Декларационная кампания 2023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spacing w:before="120" w:after="0"/>
      <w:rPr>
        <w:rFonts w:ascii="Yu Gothic UI" w:hAnsi="Yu Gothic UI" w:eastAsia="Yu Gothic UI" w:cs="Calibri" w:cstheme="minorHAnsi"/>
        <w:color w:val="77697A" w:themeColor="accent6" w:themeShade="bf"/>
        <w:sz w:val="16"/>
        <w:szCs w:val="16"/>
      </w:rPr>
    </w:pPr>
    <w:r>
      <w:rPr>
        <w:rFonts w:eastAsia="Yu Gothic UI" w:cs="Calibri" w:ascii="Yu Gothic UI" w:hAnsi="Yu Gothic UI" w:cstheme="minorHAnsi"/>
        <w:color w:val="000000" w:themeShade="bf"/>
        <w:sz w:val="16"/>
        <w:szCs w:val="16"/>
      </w:rPr>
      <w:t xml:space="preserve">           </w:t>
    </w:r>
    <w:r>
      <w:rPr>
        <w:rFonts w:eastAsia="Yu Gothic UI" w:cs="Calibri" w:ascii="Yu Gothic UI" w:hAnsi="Yu Gothic UI" w:cstheme="minorHAnsi"/>
        <w:color w:val="000000" w:themeShade="bf"/>
        <w:sz w:val="16"/>
        <w:szCs w:val="16"/>
      </w:rPr>
      <w:t xml:space="preserve">Декларационная кампания 2023  </w:t>
    </w:r>
    <w:r>
      <w:rPr>
        <w:rFonts w:eastAsia="Yu Gothic UI" w:cs="Calibri" w:ascii="Yu Gothic UI" w:hAnsi="Yu Gothic UI" w:cstheme="minorHAnsi"/>
        <w:color w:val="77697A" w:themeColor="accent6" w:themeShade="bf"/>
        <w:sz w:val="16"/>
        <w:szCs w:val="16"/>
      </w:rPr>
      <w:t xml:space="preserve">                                                            </w:t>
    </w:r>
    <w:r>
      <w:rPr>
        <w:rFonts w:eastAsia="Yu Gothic UI" w:cs="Calibri" w:ascii="Yu Gothic UI" w:hAnsi="Yu Gothic UI" w:cstheme="minorHAnsi"/>
        <w:color w:val="000000" w:themeShade="bf"/>
        <w:sz w:val="16"/>
        <w:szCs w:val="16"/>
      </w:rPr>
      <w:t>Декларационная кампания 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isplayBackgroundShape/>
  <w:defaultTabStop w:val="709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Aayyoo" w:customStyle="1">
    <w:name w:val="aayyoo"/>
    <w:basedOn w:val="DefaultParagraphFont"/>
    <w:qFormat/>
    <w:rsid w:val="008c69ba"/>
    <w:rPr/>
  </w:style>
  <w:style w:type="character" w:styleId="Bkfqne" w:customStyle="1">
    <w:name w:val="bkfqne"/>
    <w:basedOn w:val="DefaultParagraphFont"/>
    <w:qFormat/>
    <w:rsid w:val="008c69ba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d6a41"/>
    <w:rPr>
      <w:rFonts w:ascii="Segoe UI" w:hAnsi="Segoe UI" w:cs="Mangal"/>
      <w:sz w:val="18"/>
      <w:szCs w:val="16"/>
    </w:rPr>
  </w:style>
  <w:style w:type="character" w:styleId="Style16">
    <w:name w:val="Hyperlink"/>
    <w:basedOn w:val="DefaultParagraphFont"/>
    <w:uiPriority w:val="99"/>
    <w:unhideWhenUsed/>
    <w:rsid w:val="00b63470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3470"/>
    <w:rPr>
      <w:color w:val="808080"/>
      <w:shd w:fill="E6E6E6" w:val="clear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145349"/>
    <w:rPr>
      <w:rFonts w:cs="Mangal"/>
      <w:szCs w:val="21"/>
    </w:rPr>
  </w:style>
  <w:style w:type="character" w:styleId="Style18" w:customStyle="1">
    <w:name w:val="Нижний колонтитул Знак"/>
    <w:basedOn w:val="DefaultParagraphFont"/>
    <w:uiPriority w:val="99"/>
    <w:qFormat/>
    <w:rsid w:val="00145349"/>
    <w:rPr>
      <w:rFonts w:cs="Mangal"/>
      <w:szCs w:val="21"/>
    </w:rPr>
  </w:style>
  <w:style w:type="paragraph" w:styleId="Style19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um3qi" w:customStyle="1">
    <w:name w:val="aum3qi"/>
    <w:basedOn w:val="Normal"/>
    <w:qFormat/>
    <w:rsid w:val="008c69ba"/>
    <w:pPr>
      <w:widowControl/>
      <w:suppressAutoHyphens w:val="false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d6a41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186c1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de2f62"/>
    <w:pPr>
      <w:widowControl/>
      <w:suppressAutoHyphens w:val="false"/>
      <w:bidi w:val="0"/>
      <w:spacing w:before="0" w:after="0"/>
      <w:jc w:val="left"/>
      <w:textAlignment w:val="auto"/>
    </w:pPr>
    <w:rPr>
      <w:rFonts w:ascii="Franklin Gothic Book" w:hAnsi="Franklin Gothic Book" w:eastAsia="SimSun" w:cs="Franklin Gothic Book"/>
      <w:color w:val="000000"/>
      <w:kern w:val="0"/>
      <w:sz w:val="24"/>
      <w:szCs w:val="24"/>
      <w:lang w:val="ru-RU" w:eastAsia="zh-CN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14534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Style18"/>
    <w:uiPriority w:val="99"/>
    <w:unhideWhenUsed/>
    <w:rsid w:val="0014534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hyperlink" Target="https://mintrud.gov.ru/ministry/programms/anticorruption/9/5" TargetMode="External"/><Relationship Id="rId11" Type="http://schemas.openxmlformats.org/officeDocument/2006/relationships/hyperlink" Target="http://www.kremlin.ru/structure/additional/12" TargetMode="External"/><Relationship Id="rId12" Type="http://schemas.openxmlformats.org/officeDocument/2006/relationships/hyperlink" Target="https://gossluzhba.gov.ru/anticorruption/spravki_bk" TargetMode="External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2136-0A01-4810-9702-88B57044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LibreOffice/7.4.2.3$Linux_X86_64 LibreOffice_project/382eef1f22670f7f4118c8c2dd222ec7ad009daf</Application>
  <AppVersion>15.0000</AppVersion>
  <Pages>2</Pages>
  <Words>1147</Words>
  <Characters>7410</Characters>
  <CharactersWithSpaces>8692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2023-01-29T22:42:00Z</dcterms:created>
  <dc:creator>Банеева Долгор Цыдыповна</dc:creator>
  <dc:description/>
  <dc:language>ru-RU</dc:language>
  <cp:lastModifiedBy/>
  <cp:lastPrinted>2023-01-30T06:52:00Z</cp:lastPrinted>
  <dcterms:modified xsi:type="dcterms:W3CDTF">2023-02-06T14:27:54Z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