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26"/>
        <w:jc w:val="right"/>
        <w:rPr>
          <w:b/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  <w:lang w:val="ru-RU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>
        <w:rPr>
          <w:b/>
          <w:bCs/>
          <w:sz w:val="32"/>
          <w:lang w:val="ru-RU"/>
        </w:rPr>
        <w:t>ОКРУГА</w:t>
      </w:r>
    </w:p>
    <w:p>
      <w:pPr>
        <w:keepNext/>
        <w:ind w:firstLine="426"/>
        <w:jc w:val="center"/>
        <w:outlineLvl w:val="0"/>
        <w:rPr>
          <w:rFonts w:hint="default"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ПРИМОРСКОГО</w:t>
      </w:r>
      <w:r>
        <w:rPr>
          <w:rFonts w:hint="default"/>
          <w:b/>
          <w:bCs/>
          <w:sz w:val="32"/>
          <w:lang w:val="ru-RU"/>
        </w:rPr>
        <w:t xml:space="preserve"> КРАЯ</w:t>
      </w:r>
      <w:bookmarkStart w:id="1" w:name="_GoBack"/>
      <w:bookmarkEnd w:id="1"/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default"/>
          <w:sz w:val="28"/>
          <w:szCs w:val="28"/>
          <w:lang w:val="ru-RU"/>
        </w:rPr>
        <w:t xml:space="preserve">17.07.2023г.  </w:t>
      </w:r>
      <w:r>
        <w:rPr>
          <w:sz w:val="28"/>
          <w:szCs w:val="28"/>
        </w:rPr>
        <w:t xml:space="preserve">                                   с.Анучино                                             № </w:t>
      </w:r>
      <w:r>
        <w:rPr>
          <w:rFonts w:hint="default"/>
          <w:sz w:val="28"/>
          <w:szCs w:val="28"/>
          <w:lang w:val="ru-RU"/>
        </w:rPr>
        <w:t>568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</w:t>
      </w:r>
    </w:p>
    <w:p>
      <w:pPr>
        <w:ind w:firstLine="426"/>
        <w:rPr>
          <w:sz w:val="28"/>
          <w:szCs w:val="28"/>
          <w:u w:val="single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hint="default"/>
          <w:b/>
          <w:sz w:val="28"/>
          <w:szCs w:val="28"/>
          <w:lang w:val="ru-RU"/>
        </w:rPr>
        <w:t xml:space="preserve"> внесении изменений в муниципальную программу</w:t>
      </w:r>
    </w:p>
    <w:p>
      <w:pPr>
        <w:pStyle w:val="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на территории Анучинского муниципального круга» на 2020-202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>
      <w:pPr>
        <w:jc w:val="center"/>
        <w:rPr>
          <w:b/>
          <w:sz w:val="28"/>
          <w:szCs w:val="28"/>
        </w:rPr>
      </w:pPr>
    </w:p>
    <w:p>
      <w:pPr>
        <w:pStyle w:val="15"/>
        <w:spacing w:line="360" w:lineRule="auto"/>
        <w:ind w:firstLine="280"/>
        <w:jc w:val="both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  <w:lang w:val="ru-RU"/>
        </w:rPr>
        <w:t>п</w:t>
      </w:r>
      <w:r>
        <w:rPr>
          <w:rFonts w:hint="default"/>
          <w:b w:val="0"/>
          <w:sz w:val="28"/>
          <w:szCs w:val="28"/>
          <w:lang w:val="ru-RU"/>
        </w:rPr>
        <w:t>. 4.2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22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 паспорт муниципальной программы «Дорожная деятельность в отношении автомобильных дорог местного значения на территории Анучинского муниципального округа» на 2020-2025 годы, утвержденной постановлением Анучинского муниципального района от 30.09.2019 № 542 следующие изменения:</w:t>
      </w:r>
    </w:p>
    <w:p>
      <w:pPr>
        <w:pStyle w:val="22"/>
        <w:numPr>
          <w:ilvl w:val="1"/>
          <w:numId w:val="1"/>
        </w:numPr>
        <w:tabs>
          <w:tab w:val="left" w:pos="0"/>
        </w:tabs>
        <w:spacing w:line="360" w:lineRule="auto"/>
        <w:ind w:left="0" w:leftChars="0" w:firstLine="397" w:firstLineChars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249134,39956 т</w:t>
      </w:r>
      <w:r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44436,87808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35349,40566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58520,43165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48198,68417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22"/>
        <w:spacing w:line="360" w:lineRule="auto"/>
        <w:ind w:left="0" w:leftChars="0" w:firstLine="599" w:firstLineChars="214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2024 год - 2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9975,0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2"/>
        <w:spacing w:line="360" w:lineRule="auto"/>
        <w:ind w:left="0" w:leftChars="0" w:firstLine="599" w:firstLineChars="214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2025 год - 32654,0 тыс. рублей</w:t>
      </w:r>
    </w:p>
    <w:p>
      <w:pPr>
        <w:autoSpaceDE w:val="0"/>
        <w:autoSpaceDN w:val="0"/>
        <w:adjustRightInd w:val="0"/>
        <w:spacing w:after="0" w:line="360" w:lineRule="auto"/>
        <w:ind w:left="0" w:leftChars="0" w:firstLine="599" w:firstLineChars="214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>
        <w:rPr>
          <w:rFonts w:hint="default" w:eastAsiaTheme="minorHAnsi"/>
          <w:sz w:val="28"/>
          <w:szCs w:val="28"/>
          <w:lang w:val="ru-RU"/>
        </w:rPr>
        <w:t>45</w:t>
      </w:r>
      <w:r>
        <w:rPr>
          <w:rFonts w:ascii="Times New Roman" w:hAnsi="Times New Roman" w:eastAsiaTheme="minorHAnsi"/>
          <w:sz w:val="28"/>
          <w:szCs w:val="28"/>
        </w:rPr>
        <w:t>000,0 тыс. рублей, в том числе: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12000,0 тыс. рублей;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800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20000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>
      <w:pPr>
        <w:pStyle w:val="22"/>
        <w:spacing w:line="360" w:lineRule="auto"/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>
      <w:pPr>
        <w:pStyle w:val="22"/>
        <w:numPr>
          <w:ilvl w:val="0"/>
          <w:numId w:val="0"/>
        </w:numPr>
        <w:tabs>
          <w:tab w:val="left" w:pos="0"/>
        </w:tabs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 0,0 тыс.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2"/>
        <w:numPr>
          <w:ilvl w:val="0"/>
          <w:numId w:val="0"/>
        </w:numPr>
        <w:tabs>
          <w:tab w:val="left" w:pos="0"/>
        </w:tabs>
        <w:spacing w:line="36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2025 год - 0,0 тыс. Рублей.</w:t>
      </w:r>
    </w:p>
    <w:p>
      <w:pPr>
        <w:pStyle w:val="22"/>
        <w:numPr>
          <w:ilvl w:val="1"/>
          <w:numId w:val="1"/>
        </w:numPr>
        <w:tabs>
          <w:tab w:val="left" w:pos="0"/>
        </w:tabs>
        <w:spacing w:line="360" w:lineRule="auto"/>
        <w:ind w:left="0" w:leftChars="0" w:firstLine="397" w:firstLineChars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№ 3 к паспорту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«Дорожная деятельность в отношении автомобильных дорог местного значения на территории Анучинского муниципального округа» на 2020-202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>
      <w:pPr>
        <w:pStyle w:val="11"/>
        <w:numPr>
          <w:ilvl w:val="0"/>
          <w:numId w:val="1"/>
        </w:numPr>
        <w:tabs>
          <w:tab w:val="left" w:pos="426"/>
          <w:tab w:val="left" w:pos="709"/>
        </w:tabs>
        <w:spacing w:before="0" w:beforeAutospacing="0" w:after="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</w:t>
      </w:r>
      <w:r>
        <w:rPr>
          <w:rFonts w:hint="default"/>
          <w:sz w:val="28"/>
          <w:szCs w:val="28"/>
          <w:lang w:val="ru-RU"/>
        </w:rPr>
        <w:t xml:space="preserve"> Анучинского муниципального округа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Интернет .</w:t>
      </w:r>
    </w:p>
    <w:p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4.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spacing w:line="360" w:lineRule="auto"/>
        <w:ind w:firstLine="426"/>
        <w:jc w:val="both"/>
        <w:rPr>
          <w:sz w:val="28"/>
          <w:szCs w:val="28"/>
        </w:rPr>
      </w:pPr>
    </w:p>
    <w:p>
      <w:pPr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округа                                                           С.А. Понуровский</w:t>
      </w:r>
    </w:p>
    <w:p>
      <w:pPr>
        <w:jc w:val="both"/>
        <w:rPr>
          <w:rFonts w:hint="default"/>
          <w:sz w:val="28"/>
          <w:szCs w:val="28"/>
          <w:lang w:val="ru-RU"/>
        </w:rPr>
        <w:sectPr>
          <w:headerReference r:id="rId3" w:type="default"/>
          <w:pgSz w:w="11906" w:h="16838"/>
          <w:pgMar w:top="534" w:right="849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jc w:val="right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Приложение № 3</w:t>
      </w:r>
    </w:p>
    <w:p>
      <w:pPr>
        <w:jc w:val="right"/>
        <w:rPr>
          <w:rFonts w:ascii="Times New Roman" w:hAnsi="Times New Roman"/>
          <w:kern w:val="1"/>
          <w:sz w:val="24"/>
          <w:szCs w:val="24"/>
        </w:rPr>
      </w:pP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>
      <w:pPr>
        <w:pStyle w:val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476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9"/>
        <w:gridCol w:w="2366"/>
        <w:gridCol w:w="2866"/>
        <w:gridCol w:w="1407"/>
        <w:gridCol w:w="776"/>
        <w:gridCol w:w="755"/>
        <w:gridCol w:w="827"/>
        <w:gridCol w:w="569"/>
        <w:gridCol w:w="859"/>
        <w:gridCol w:w="869"/>
        <w:gridCol w:w="869"/>
        <w:gridCol w:w="910"/>
        <w:gridCol w:w="931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366" w:type="dxa"/>
            <w:vMerge w:val="restart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866" w:type="dxa"/>
            <w:vMerge w:val="restart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r>
              <w:fldChar w:fldCharType="begin"/>
            </w:r>
            <w:r>
              <w:instrText xml:space="preserve"> HYPERLINK \l "P885"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407" w:type="dxa"/>
            <w:vMerge w:val="restart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2927" w:type="dxa"/>
            <w:gridSpan w:val="4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411" w:type="dxa"/>
            <w:gridSpan w:val="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55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Рз Пр</w:t>
            </w:r>
          </w:p>
        </w:tc>
        <w:tc>
          <w:tcPr>
            <w:tcW w:w="827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9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9" w:type="dxa"/>
            <w:shd w:val="clear" w:color="auto" w:fill="auto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869" w:type="dxa"/>
            <w:shd w:val="clear" w:color="auto" w:fill="auto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869" w:type="dxa"/>
            <w:shd w:val="clear" w:color="auto" w:fill="auto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91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год планового периода (2023)</w:t>
            </w:r>
          </w:p>
        </w:tc>
        <w:tc>
          <w:tcPr>
            <w:tcW w:w="93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четвертый год планового периода (2024)</w:t>
            </w:r>
          </w:p>
        </w:tc>
        <w:tc>
          <w:tcPr>
            <w:tcW w:w="97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пятый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год планового периода (2024)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66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66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7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76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55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27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9" w:type="dxa"/>
          </w:tcPr>
          <w:p>
            <w:pPr>
              <w:pStyle w:val="2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13</w:t>
            </w:r>
          </w:p>
        </w:tc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66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6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1000120470</w:t>
            </w:r>
          </w:p>
        </w:tc>
        <w:tc>
          <w:tcPr>
            <w:tcW w:w="569" w:type="dxa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31466,014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44365,88111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22293,57137</w:t>
            </w:r>
          </w:p>
        </w:tc>
        <w:tc>
          <w:tcPr>
            <w:tcW w:w="93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28650,0</w:t>
            </w:r>
          </w:p>
        </w:tc>
        <w:tc>
          <w:tcPr>
            <w:tcW w:w="97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31554,0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" w:hRule="atLeast"/>
        </w:trPr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76" w:type="dxa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920</w:t>
            </w:r>
          </w:p>
        </w:tc>
        <w:tc>
          <w:tcPr>
            <w:tcW w:w="755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1000192390</w:t>
            </w:r>
          </w:p>
        </w:tc>
        <w:tc>
          <w:tcPr>
            <w:tcW w:w="569" w:type="dxa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800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2000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1000120470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16561,0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23466,014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24365,88111</w:t>
            </w:r>
          </w:p>
        </w:tc>
        <w:tc>
          <w:tcPr>
            <w:tcW w:w="91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22293,57137</w:t>
            </w:r>
          </w:p>
        </w:tc>
        <w:tc>
          <w:tcPr>
            <w:tcW w:w="93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28650,0</w:t>
            </w:r>
          </w:p>
        </w:tc>
        <w:tc>
          <w:tcPr>
            <w:tcW w:w="973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31554,0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2.</w:t>
            </w:r>
          </w:p>
        </w:tc>
        <w:tc>
          <w:tcPr>
            <w:tcW w:w="2366" w:type="dxa"/>
            <w:vMerge w:val="restart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</w:t>
            </w:r>
            <w:r>
              <w:rPr>
                <w:rFonts w:hint="default" w:ascii="Times New Roman" w:hAnsi="Times New Roman"/>
                <w:lang w:val="ru-RU"/>
              </w:rPr>
              <w:t xml:space="preserve"> на осуществление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866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1000192390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5000,0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920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1000192390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5000,0</w:t>
            </w:r>
          </w:p>
        </w:tc>
        <w:tc>
          <w:tcPr>
            <w:tcW w:w="93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66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6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1000120480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713,18640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920,0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1000120480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713,18640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920,0</w:t>
            </w:r>
          </w:p>
        </w:tc>
        <w:tc>
          <w:tcPr>
            <w:tcW w:w="93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73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66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2866" w:type="dxa"/>
            <w:vMerge w:val="restart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1000120490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2050,0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1000120490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1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2050,0</w:t>
            </w:r>
          </w:p>
        </w:tc>
        <w:tc>
          <w:tcPr>
            <w:tcW w:w="93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73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5.</w:t>
            </w:r>
          </w:p>
        </w:tc>
        <w:tc>
          <w:tcPr>
            <w:tcW w:w="2366" w:type="dxa"/>
            <w:vMerge w:val="restart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Демонтаж</w:t>
            </w:r>
            <w:r>
              <w:rPr>
                <w:rFonts w:hint="default" w:ascii="Times New Roman" w:hAnsi="Times New Roman"/>
                <w:lang w:val="ru-RU"/>
              </w:rPr>
              <w:t xml:space="preserve"> моста</w:t>
            </w:r>
          </w:p>
        </w:tc>
        <w:tc>
          <w:tcPr>
            <w:tcW w:w="2866" w:type="dxa"/>
            <w:vMerge w:val="restart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1000121490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290,194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600,0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1000121490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290,194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600,0</w:t>
            </w:r>
          </w:p>
        </w:tc>
        <w:tc>
          <w:tcPr>
            <w:tcW w:w="93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6.</w:t>
            </w:r>
          </w:p>
        </w:tc>
        <w:tc>
          <w:tcPr>
            <w:tcW w:w="2366" w:type="dxa"/>
            <w:vMerge w:val="restart"/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Капитальный</w:t>
            </w:r>
            <w:r>
              <w:rPr>
                <w:rFonts w:hint="default" w:ascii="Times New Roman" w:hAnsi="Times New Roman"/>
                <w:lang w:val="ru-RU"/>
              </w:rPr>
              <w:t xml:space="preserve"> ремонт и ремонт дорог</w:t>
            </w:r>
          </w:p>
        </w:tc>
        <w:tc>
          <w:tcPr>
            <w:tcW w:w="2866" w:type="dxa"/>
            <w:vMerge w:val="restart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</w:t>
            </w:r>
            <w:r>
              <w:rPr>
                <w:rFonts w:hint="default" w:ascii="Times New Roman" w:hAnsi="Times New Roman" w:cs="Times New Roman"/>
                <w:szCs w:val="22"/>
                <w:lang w:val="en-US"/>
              </w:rPr>
              <w:t>S2390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2783,39142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10554,55054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16255,11280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</w:t>
            </w:r>
            <w:r>
              <w:rPr>
                <w:rFonts w:hint="default" w:ascii="Times New Roman" w:hAnsi="Times New Roman" w:cs="Times New Roman"/>
                <w:szCs w:val="22"/>
                <w:lang w:val="en-US"/>
              </w:rPr>
              <w:t>S2390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2783,39142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10554,55054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16255,11280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66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2866" w:type="dxa"/>
            <w:vMerge w:val="restart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</w:t>
            </w:r>
            <w:r>
              <w:rPr>
                <w:rFonts w:hint="default" w:ascii="Times New Roman" w:hAnsi="Times New Roman" w:cs="Times New Roman"/>
                <w:szCs w:val="22"/>
                <w:lang w:val="en-US"/>
              </w:rPr>
              <w:t>500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16027,17469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  <w:vAlign w:val="top"/>
          </w:tcPr>
          <w:p>
            <w:pPr>
              <w:pStyle w:val="22"/>
              <w:rPr>
                <w:rFonts w:hint="default" w:ascii="Times New Roman" w:hAnsi="Times New Roman" w:cs="Times New Roman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1000120</w:t>
            </w:r>
            <w:r>
              <w:rPr>
                <w:rFonts w:hint="default" w:ascii="Times New Roman" w:hAnsi="Times New Roman" w:cs="Times New Roman"/>
                <w:szCs w:val="22"/>
                <w:lang w:val="en-US"/>
              </w:rPr>
              <w:t>500</w:t>
            </w:r>
          </w:p>
        </w:tc>
        <w:tc>
          <w:tcPr>
            <w:tcW w:w="569" w:type="dxa"/>
            <w:vAlign w:val="top"/>
          </w:tcPr>
          <w:p>
            <w:pPr>
              <w:pStyle w:val="22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244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16027,17469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6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39" w:type="dxa"/>
            <w:gridSpan w:val="3"/>
          </w:tcPr>
          <w:p>
            <w:pPr>
              <w:pStyle w:val="22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76" w:type="dxa"/>
          </w:tcPr>
          <w:p>
            <w:pPr>
              <w:pStyle w:val="2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5" w:type="dxa"/>
          </w:tcPr>
          <w:p>
            <w:pPr>
              <w:pStyle w:val="2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27" w:type="dxa"/>
          </w:tcPr>
          <w:p>
            <w:pPr>
              <w:pStyle w:val="2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9" w:type="dxa"/>
          </w:tcPr>
          <w:p>
            <w:pPr>
              <w:pStyle w:val="2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44436,87808</w:t>
            </w:r>
          </w:p>
        </w:tc>
        <w:tc>
          <w:tcPr>
            <w:tcW w:w="86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35349,40566</w:t>
            </w:r>
          </w:p>
        </w:tc>
        <w:tc>
          <w:tcPr>
            <w:tcW w:w="869" w:type="dxa"/>
            <w:shd w:val="clear" w:color="auto" w:fill="auto"/>
          </w:tcPr>
          <w:p>
            <w:pPr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58520,43165</w:t>
            </w:r>
          </w:p>
        </w:tc>
        <w:tc>
          <w:tcPr>
            <w:tcW w:w="910" w:type="dxa"/>
            <w:shd w:val="clear" w:color="auto" w:fill="auto"/>
          </w:tcPr>
          <w:p>
            <w:pPr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48198,68417</w:t>
            </w:r>
          </w:p>
        </w:tc>
        <w:tc>
          <w:tcPr>
            <w:tcW w:w="931" w:type="dxa"/>
            <w:shd w:val="clear" w:color="auto" w:fill="auto"/>
          </w:tcPr>
          <w:p>
            <w:pPr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29975,0</w:t>
            </w:r>
          </w:p>
        </w:tc>
        <w:tc>
          <w:tcPr>
            <w:tcW w:w="973" w:type="dxa"/>
            <w:shd w:val="clear" w:color="auto" w:fill="auto"/>
          </w:tcPr>
          <w:p>
            <w:pPr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32654,0</w:t>
            </w:r>
          </w:p>
        </w:tc>
      </w:tr>
    </w:tbl>
    <w:p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85"/>
      <w:bookmarkEnd w:id="0"/>
      <w:r>
        <w:rPr>
          <w:rFonts w:ascii="Times New Roman" w:hAnsi="Times New Roman" w:cs="Times New Roman"/>
          <w:sz w:val="28"/>
          <w:szCs w:val="28"/>
        </w:rPr>
        <w:t>&lt;*&gt; - главный распорядитель бюджетных средств.</w:t>
      </w:r>
    </w:p>
    <w:p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p/>
    <w:p>
      <w:pPr>
        <w:jc w:val="both"/>
        <w:rPr>
          <w:rFonts w:hint="default"/>
          <w:sz w:val="28"/>
          <w:szCs w:val="28"/>
          <w:lang w:val="ru-RU"/>
        </w:rPr>
      </w:pPr>
    </w:p>
    <w:sectPr>
      <w:pgSz w:w="16838" w:h="11906" w:orient="landscape"/>
      <w:pgMar w:top="703" w:right="1440" w:bottom="1803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83B59"/>
    <w:multiLevelType w:val="multilevel"/>
    <w:tmpl w:val="41483B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4E66"/>
    <w:rsid w:val="000C5D35"/>
    <w:rsid w:val="000D1194"/>
    <w:rsid w:val="000F2DC4"/>
    <w:rsid w:val="000F50F1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14E2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268F"/>
    <w:rsid w:val="007252A3"/>
    <w:rsid w:val="00730A2F"/>
    <w:rsid w:val="00734F29"/>
    <w:rsid w:val="0074080A"/>
    <w:rsid w:val="007458FF"/>
    <w:rsid w:val="00746B56"/>
    <w:rsid w:val="007531DA"/>
    <w:rsid w:val="00754E53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3BC"/>
    <w:rsid w:val="008675D1"/>
    <w:rsid w:val="008734E3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11455E10"/>
    <w:rsid w:val="27AD032C"/>
    <w:rsid w:val="2F3823C8"/>
    <w:rsid w:val="30E902BF"/>
    <w:rsid w:val="798B1B9B"/>
    <w:rsid w:val="7A8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1"/>
    <w:qFormat/>
    <w:uiPriority w:val="0"/>
    <w:pPr>
      <w:ind w:right="567" w:firstLine="720"/>
      <w:jc w:val="both"/>
    </w:pPr>
    <w:rPr>
      <w:sz w:val="24"/>
    </w:rPr>
  </w:style>
  <w:style w:type="paragraph" w:styleId="7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qFormat/>
    <w:uiPriority w:val="0"/>
    <w:pPr>
      <w:spacing w:after="120"/>
    </w:pPr>
  </w:style>
  <w:style w:type="paragraph" w:styleId="9">
    <w:name w:val="Body Text Indent"/>
    <w:basedOn w:val="1"/>
    <w:link w:val="25"/>
    <w:qFormat/>
    <w:uiPriority w:val="0"/>
    <w:pPr>
      <w:spacing w:after="120"/>
      <w:ind w:left="283"/>
    </w:pPr>
  </w:style>
  <w:style w:type="paragraph" w:styleId="10">
    <w:name w:val="foot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8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2">
    <w:name w:val="Body Text Indent 2"/>
    <w:basedOn w:val="1"/>
    <w:link w:val="20"/>
    <w:qFormat/>
    <w:uiPriority w:val="0"/>
    <w:pPr>
      <w:ind w:firstLine="720"/>
      <w:jc w:val="both"/>
    </w:pPr>
    <w:rPr>
      <w:sz w:val="24"/>
    </w:rPr>
  </w:style>
  <w:style w:type="table" w:styleId="13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qFormat/>
    <w:uiPriority w:val="99"/>
  </w:style>
  <w:style w:type="character" w:customStyle="1" w:styleId="17">
    <w:name w:val="Нижний колонтитул Знак"/>
    <w:basedOn w:val="2"/>
    <w:link w:val="10"/>
    <w:qFormat/>
    <w:uiPriority w:val="0"/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  <w:rPr>
      <w:sz w:val="24"/>
    </w:rPr>
  </w:style>
  <w:style w:type="character" w:customStyle="1" w:styleId="19">
    <w:name w:val="Абзац списка Знак"/>
    <w:link w:val="18"/>
    <w:qFormat/>
    <w:locked/>
    <w:uiPriority w:val="34"/>
    <w:rPr>
      <w:sz w:val="24"/>
    </w:rPr>
  </w:style>
  <w:style w:type="character" w:customStyle="1" w:styleId="20">
    <w:name w:val="Основной текст с отступом 2 Знак"/>
    <w:basedOn w:val="2"/>
    <w:link w:val="12"/>
    <w:qFormat/>
    <w:uiPriority w:val="0"/>
    <w:rPr>
      <w:sz w:val="24"/>
    </w:rPr>
  </w:style>
  <w:style w:type="character" w:customStyle="1" w:styleId="21">
    <w:name w:val="Основной текст с отступом 3 Знак"/>
    <w:basedOn w:val="2"/>
    <w:link w:val="6"/>
    <w:qFormat/>
    <w:uiPriority w:val="0"/>
    <w:rPr>
      <w:sz w:val="24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2"/>
    <w:link w:val="8"/>
    <w:qFormat/>
    <w:uiPriority w:val="0"/>
  </w:style>
  <w:style w:type="paragraph" w:customStyle="1" w:styleId="24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5">
    <w:name w:val="Основной текст с отступом Знак"/>
    <w:basedOn w:val="2"/>
    <w:link w:val="9"/>
    <w:qFormat/>
    <w:uiPriority w:val="0"/>
  </w:style>
  <w:style w:type="paragraph" w:styleId="26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27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28">
    <w:name w:val="Обычный (веб) Знак"/>
    <w:link w:val="11"/>
    <w:qFormat/>
    <w:uiPriority w:val="0"/>
    <w:rPr>
      <w:sz w:val="24"/>
      <w:szCs w:val="24"/>
    </w:rPr>
  </w:style>
  <w:style w:type="character" w:customStyle="1" w:styleId="29">
    <w:name w:val="Гипертекстовая ссылка"/>
    <w:basedOn w:val="2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DED4-C862-4867-AC40-9BA1C86AA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Company>Администрация г.Ханты-Мансийск</Company>
  <Pages>2</Pages>
  <Words>311</Words>
  <Characters>1775</Characters>
  <Lines>14</Lines>
  <Paragraphs>4</Paragraphs>
  <TotalTime>2</TotalTime>
  <ScaleCrop>false</ScaleCrop>
  <LinksUpToDate>false</LinksUpToDate>
  <CharactersWithSpaces>2082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2019-03-26T06:16:00Z</dcterms:created>
  <dc:creator>Белякова Галина Николаевна</dc:creator>
  <cp:lastModifiedBy>BurdeynayaSV</cp:lastModifiedBy>
  <cp:lastPrinted>2023-07-20T01:54:00Z</cp:lastPrinted>
  <dcterms:modified xsi:type="dcterms:W3CDTF">2023-07-21T04:39:53Z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4F0535B8777648D6849C9AC53C38765A</vt:lpwstr>
  </property>
</Properties>
</file>