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CE9B" w14:textId="77777777" w:rsidR="0021045A" w:rsidRDefault="0021045A" w:rsidP="0021045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«О реализации табачной продукции». С 1 июля 2017 года, организации, в товарном ассортименте которых имеется табачная продукция, должны использовать онлайн-кассы.</w:t>
      </w:r>
    </w:p>
    <w:p w14:paraId="5995D8FD" w14:textId="77777777" w:rsidR="0021045A" w:rsidRDefault="0021045A" w:rsidP="0021045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Предприниматели, применяющие ЕНВД и патентную систему налогообложения до 1 июля 2018 года могут не пользоваться ККТ, но только в том случае, если они будут выдавать подтверждение оплаты по первому требованию покупателя.</w:t>
      </w:r>
    </w:p>
    <w:p w14:paraId="64B24317" w14:textId="77777777" w:rsidR="0021045A" w:rsidRDefault="0021045A" w:rsidP="0021045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предприниматели применяют совместную систему налогообложения (общая или упрощенная система совместно с ЕНВД), то применение онлайн-кассы необходимо с 1 июля 2017 года.</w:t>
      </w:r>
      <w:r>
        <w:rPr>
          <w:rFonts w:ascii="Arial" w:hAnsi="Arial" w:cs="Arial"/>
          <w:color w:val="333333"/>
          <w:sz w:val="20"/>
          <w:szCs w:val="20"/>
        </w:rPr>
        <w:br/>
        <w:t>Кроме того статьей 18 Федерального закона от 23 февраля 2013 г.</w:t>
      </w:r>
      <w:r>
        <w:rPr>
          <w:rFonts w:ascii="Arial" w:hAnsi="Arial" w:cs="Arial"/>
          <w:color w:val="333333"/>
          <w:sz w:val="20"/>
          <w:szCs w:val="20"/>
        </w:rPr>
        <w:br/>
        <w:t>№ 15-ФЗ «Об охране здоровья граждан от воздействия окружающего табачного дыма и последствий потребления табака» предусмотрено предотвращение незаконной торговли табачной продукцией и табачными изделиями, которые включают в себя:</w:t>
      </w:r>
    </w:p>
    <w:p w14:paraId="25C4B9C0" w14:textId="77777777" w:rsidR="0021045A" w:rsidRDefault="0021045A" w:rsidP="0021045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— обеспечение учета отдельных видов экономической деятельности,</w:t>
      </w:r>
      <w:r>
        <w:rPr>
          <w:rFonts w:ascii="Arial" w:hAnsi="Arial" w:cs="Arial"/>
          <w:color w:val="333333"/>
          <w:sz w:val="20"/>
          <w:szCs w:val="20"/>
        </w:rPr>
        <w:t> связанной с табачными изделиями. Такой учет означает отслеживание порядка осуществления той или иной экономической деятельности и контроль за таким порядком, а также отслеживание и контроль результатов этой деятельности, а именно:</w:t>
      </w:r>
      <w:r>
        <w:rPr>
          <w:rFonts w:ascii="Arial" w:hAnsi="Arial" w:cs="Arial"/>
          <w:color w:val="333333"/>
          <w:sz w:val="20"/>
          <w:szCs w:val="20"/>
        </w:rPr>
        <w:br/>
        <w:t>1) за производством табачных изделий;</w:t>
      </w:r>
      <w:r>
        <w:rPr>
          <w:rFonts w:ascii="Arial" w:hAnsi="Arial" w:cs="Arial"/>
          <w:color w:val="333333"/>
          <w:sz w:val="20"/>
          <w:szCs w:val="20"/>
        </w:rPr>
        <w:br/>
        <w:t>2) за перемещением через таможенную границу Таможенного союза в рамках ЕврАзЭС или через Государственную границу Российской Федерации с государствами — членами Таможенного союза в рамках ЕврАзЭС табачной продукции и табачных изделий;</w:t>
      </w:r>
      <w:r>
        <w:rPr>
          <w:rFonts w:ascii="Arial" w:hAnsi="Arial" w:cs="Arial"/>
          <w:color w:val="333333"/>
          <w:sz w:val="20"/>
          <w:szCs w:val="20"/>
        </w:rPr>
        <w:br/>
        <w:t>3) за осуществлением оптовой торговли табачной продукцией и табачными изделиями;</w:t>
      </w:r>
      <w:r>
        <w:rPr>
          <w:rFonts w:ascii="Arial" w:hAnsi="Arial" w:cs="Arial"/>
          <w:color w:val="333333"/>
          <w:sz w:val="20"/>
          <w:szCs w:val="20"/>
        </w:rPr>
        <w:br/>
        <w:t>4) за осуществлением розничной торговли табачной продукцией и табачными изделиями.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— отслеживание отдельных производственных процессов,</w:t>
      </w:r>
      <w:r>
        <w:rPr>
          <w:rFonts w:ascii="Arial" w:hAnsi="Arial" w:cs="Arial"/>
          <w:color w:val="333333"/>
          <w:sz w:val="20"/>
          <w:szCs w:val="20"/>
        </w:rPr>
        <w:t> то есть контроль и своевременное выявление нарушений таких процессов. К числу этих процессов относится:</w:t>
      </w:r>
    </w:p>
    <w:p w14:paraId="0716BFEA" w14:textId="77777777" w:rsidR="0021045A" w:rsidRDefault="0021045A" w:rsidP="0021045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1) оборот производственного оборудования, то есть заключение гражданско-правовых сделок в отношении приборов и техники, используемых при производстве табачной продукции;</w:t>
      </w:r>
      <w:r>
        <w:rPr>
          <w:rFonts w:ascii="Arial" w:hAnsi="Arial" w:cs="Arial"/>
          <w:color w:val="333333"/>
          <w:sz w:val="20"/>
          <w:szCs w:val="20"/>
        </w:rPr>
        <w:br/>
        <w:t>2) движение табачной продукции и табачных изделий — заключение гражданско-правовых сделок преимущественно по продаже табачной продукции и табачных изделий либо иных сделок (мена, дарение и т.д.) по отчуждению табачной продукции и табачных изделий;</w:t>
      </w:r>
      <w:r>
        <w:rPr>
          <w:rFonts w:ascii="Arial" w:hAnsi="Arial" w:cs="Arial"/>
          <w:color w:val="333333"/>
          <w:sz w:val="20"/>
          <w:szCs w:val="20"/>
        </w:rPr>
        <w:br/>
        <w:t>3) распределение табачной продукции и табачных изделий — определение мест (территорий и помещений), в пределах которых планируется торговля табачной продукцией и табачными изделиями.</w:t>
      </w:r>
      <w:r>
        <w:rPr>
          <w:rFonts w:ascii="Arial" w:hAnsi="Arial" w:cs="Arial"/>
          <w:color w:val="333333"/>
          <w:sz w:val="20"/>
          <w:szCs w:val="20"/>
        </w:rPr>
        <w:br/>
        <w:t>С 1 июля 2016 года производство и продажа сигарет осуществляется только в пачках по 20 штук.</w:t>
      </w:r>
    </w:p>
    <w:p w14:paraId="0ECD1A39" w14:textId="77777777" w:rsidR="0021045A" w:rsidRDefault="0021045A" w:rsidP="0021045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Розничная торговля сигаретами, содержащимися в количестве более чем двадцать штук в единице потребительской упаковки (пачке) и произведенными на территории РФ или импортированными на территорию РФ до 1 июля 2016 года, допускается до их полной реализации.</w:t>
      </w:r>
    </w:p>
    <w:p w14:paraId="6D73C89B" w14:textId="77777777" w:rsidR="0021045A" w:rsidRDefault="0021045A" w:rsidP="0021045A">
      <w:pPr>
        <w:pStyle w:val="a3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DE3E297" w14:textId="77777777" w:rsidR="0021045A" w:rsidRDefault="0021045A" w:rsidP="0021045A">
      <w:pPr>
        <w:pStyle w:val="a3"/>
        <w:shd w:val="clear" w:color="auto" w:fill="FFFFFF"/>
        <w:spacing w:before="0" w:beforeAutospacing="0" w:after="30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            Департамент лицензирования и торговли Приморского края</w:t>
      </w:r>
    </w:p>
    <w:p w14:paraId="14510B99" w14:textId="77777777" w:rsidR="00363F39" w:rsidRPr="0021045A" w:rsidRDefault="00363F39" w:rsidP="0021045A">
      <w:bookmarkStart w:id="0" w:name="_GoBack"/>
      <w:bookmarkEnd w:id="0"/>
    </w:p>
    <w:sectPr w:rsidR="00363F39" w:rsidRPr="002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0E4411"/>
    <w:rsid w:val="001B60DA"/>
    <w:rsid w:val="0021045A"/>
    <w:rsid w:val="00325051"/>
    <w:rsid w:val="003577A0"/>
    <w:rsid w:val="00363F39"/>
    <w:rsid w:val="006D530F"/>
    <w:rsid w:val="009662DA"/>
    <w:rsid w:val="00A12244"/>
    <w:rsid w:val="00B1333E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2020-01-21T22:13:00Z</dcterms:created>
  <dcterms:modified xsi:type="dcterms:W3CDTF">2020-01-21T22:26:00Z</dcterms:modified>
</cp:coreProperties>
</file>