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0250" w14:textId="77777777" w:rsidR="00A41C18" w:rsidRDefault="00104EF5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2F5F25" wp14:editId="4961DF83">
            <wp:simplePos x="0" y="0"/>
            <wp:positionH relativeFrom="column">
              <wp:posOffset>2811145</wp:posOffset>
            </wp:positionH>
            <wp:positionV relativeFrom="paragraph">
              <wp:posOffset>635</wp:posOffset>
            </wp:positionV>
            <wp:extent cx="63881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BBE9B77" w14:textId="77777777" w:rsidR="00A41C18" w:rsidRDefault="00A41C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A5F0D5B" w14:textId="77777777" w:rsidR="00A41C18" w:rsidRDefault="00104EF5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39B754AC" w14:textId="77777777"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6B902FD3" w14:textId="7B7B068D"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587B4B4" w14:textId="187DFA0C"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3EE4B2B" w14:textId="7D89E0F7"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122C2B65" w14:textId="77777777"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89788A" w14:textId="77777777"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285F763" w14:textId="77777777" w:rsidR="007532BA" w:rsidRDefault="007532BA" w:rsidP="007532BA">
      <w:pPr>
        <w:rPr>
          <w:b/>
        </w:rPr>
      </w:pPr>
    </w:p>
    <w:p w14:paraId="7CB7E7B6" w14:textId="4E18EF21" w:rsidR="00A41C18" w:rsidRPr="00A317DA" w:rsidRDefault="007532BA" w:rsidP="0075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    12    </w:t>
      </w:r>
      <w:r w:rsidR="00104EF5" w:rsidRPr="00A317D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                         с.Анучино                                        №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308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13691" w14:textId="77777777"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7ED71F7B" w14:textId="77777777" w:rsidR="00A41C18" w:rsidRDefault="00A41C18">
      <w:pPr>
        <w:ind w:firstLine="426"/>
        <w:rPr>
          <w:sz w:val="28"/>
          <w:szCs w:val="28"/>
        </w:rPr>
      </w:pPr>
    </w:p>
    <w:p w14:paraId="1DDFA47A" w14:textId="77777777"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27B59A4A" w14:textId="77777777"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bookmarkEnd w:id="0"/>
    <w:p w14:paraId="7CECC4AC" w14:textId="77777777" w:rsidR="00A41C18" w:rsidRDefault="00A41C18">
      <w:pPr>
        <w:jc w:val="center"/>
        <w:rPr>
          <w:b/>
          <w:sz w:val="28"/>
          <w:szCs w:val="28"/>
        </w:rPr>
      </w:pPr>
    </w:p>
    <w:p w14:paraId="57F0470C" w14:textId="7E0C8D6C" w:rsidR="00A41C18" w:rsidRDefault="00104EF5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 п. 4.2. «</w:t>
      </w:r>
      <w:r w:rsidR="007532B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7532B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29A5B79" w14:textId="77777777" w:rsidR="007532BA" w:rsidRPr="007532BA" w:rsidRDefault="007532BA">
      <w:pPr>
        <w:spacing w:line="360" w:lineRule="auto"/>
        <w:jc w:val="both"/>
      </w:pPr>
    </w:p>
    <w:p w14:paraId="37E26FC7" w14:textId="77777777"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4E6E5A9" w14:textId="77777777" w:rsidR="00A41C18" w:rsidRDefault="00104EF5"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543:</w:t>
      </w:r>
    </w:p>
    <w:p w14:paraId="290538FF" w14:textId="695E6D46" w:rsidR="00A41C18" w:rsidRDefault="00104EF5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486855BE" w14:textId="57E4E451" w:rsidR="00A41C18" w:rsidRDefault="00104E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7403E0">
        <w:rPr>
          <w:rFonts w:ascii="Times New Roman" w:hAnsi="Times New Roman" w:cs="Times New Roman"/>
          <w:sz w:val="28"/>
          <w:szCs w:val="28"/>
        </w:rPr>
        <w:t>378,84844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5AE4252" w14:textId="6D81EFC6" w:rsidR="00A41C18" w:rsidRDefault="00104EF5" w:rsidP="007532BA">
      <w:pPr>
        <w:pStyle w:val="ConsPlusNormal"/>
        <w:spacing w:line="36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C85E0E" w14:textId="77777777" w:rsidR="00A41C18" w:rsidRDefault="00104EF5" w:rsidP="007532B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119,245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5BCCEF6A" w14:textId="434E14AD" w:rsidR="00A41C18" w:rsidRDefault="00104EF5" w:rsidP="007532B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</w:t>
      </w:r>
      <w:r w:rsidR="00740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D871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09956B" w14:textId="77777777" w:rsidR="00A41C18" w:rsidRDefault="00104EF5" w:rsidP="007532BA">
      <w:pPr>
        <w:pStyle w:val="ConsPlusNormal"/>
        <w:spacing w:line="36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14:paraId="6AB60787" w14:textId="77777777" w:rsidR="00A41C18" w:rsidRDefault="00104EF5" w:rsidP="007532BA">
      <w:pPr>
        <w:pStyle w:val="ConsPlusNormal"/>
        <w:spacing w:line="360" w:lineRule="auto"/>
        <w:ind w:firstLine="993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14:paraId="644BC831" w14:textId="27F90D53" w:rsidR="00A41C18" w:rsidRDefault="00104EF5">
      <w:pPr>
        <w:spacing w:line="360" w:lineRule="auto"/>
        <w:ind w:firstLine="426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2"/>
      <w:r>
        <w:rPr>
          <w:rFonts w:eastAsiaTheme="minorHAnsi"/>
          <w:sz w:val="28"/>
          <w:szCs w:val="28"/>
        </w:rPr>
        <w:t xml:space="preserve"> тыс. рублей, в том числе:</w:t>
      </w:r>
    </w:p>
    <w:p w14:paraId="4A4BED32" w14:textId="3E10B1F4" w:rsidR="00A41C18" w:rsidRDefault="00104EF5" w:rsidP="007532BA">
      <w:pPr>
        <w:pStyle w:val="ConsPlusNormal"/>
        <w:spacing w:line="360" w:lineRule="auto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D7787F" w14:textId="77777777" w:rsidR="00A41C18" w:rsidRDefault="00104EF5" w:rsidP="007532BA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2E36781B" w14:textId="613E8B3F" w:rsidR="00A41C18" w:rsidRDefault="00104EF5" w:rsidP="007532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– 0,0 тыс. рублей;</w:t>
      </w:r>
    </w:p>
    <w:p w14:paraId="7AAA60B9" w14:textId="05337D48" w:rsidR="00A41C18" w:rsidRDefault="007532BA" w:rsidP="007532BA">
      <w:pPr>
        <w:pStyle w:val="ConsPlusNormal"/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 тыс. рублей;</w:t>
      </w:r>
    </w:p>
    <w:p w14:paraId="754D8CE5" w14:textId="77777777" w:rsidR="00A41C18" w:rsidRDefault="00104EF5" w:rsidP="007532BA">
      <w:pPr>
        <w:pStyle w:val="ConsPlusNormal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 тыс. рублей</w:t>
      </w:r>
    </w:p>
    <w:p w14:paraId="3B23186A" w14:textId="60D08FE6" w:rsidR="00A41C18" w:rsidRDefault="00104EF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7532B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4C6C71A6" w14:textId="41A84CAA" w:rsidR="00A41C18" w:rsidRDefault="00104EF5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14:paraId="7750D0A8" w14:textId="77777777" w:rsidR="00A41C18" w:rsidRDefault="00104EF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7261B7B0" w14:textId="77777777" w:rsidR="00A41C18" w:rsidRDefault="00104EF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29D0C21E" w14:textId="77777777" w:rsidR="00A41C18" w:rsidRDefault="00A41C1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8B3B105" w14:textId="77777777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09AE888" w14:textId="7E1F424B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A41C18" w14:paraId="7FF6060B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41D76978" w14:textId="77777777"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14:paraId="1C52D1F4" w14:textId="77777777" w:rsidR="00A41C18" w:rsidRDefault="00A41C18">
      <w:pPr>
        <w:sectPr w:rsidR="00A41C18">
          <w:headerReference w:type="default" r:id="rId10"/>
          <w:pgSz w:w="11906" w:h="16838"/>
          <w:pgMar w:top="851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304D3E28" w14:textId="77777777" w:rsidR="00A41C18" w:rsidRDefault="00104E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1E564712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EF13C67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37A72478" w14:textId="054BC77B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округа </w:t>
      </w:r>
      <w:r w:rsidR="00BE0F02">
        <w:rPr>
          <w:rFonts w:ascii="Times New Roman" w:hAnsi="Times New Roman" w:cs="Times New Roman"/>
        </w:rPr>
        <w:t xml:space="preserve"> Приморского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14:paraId="222EDC8C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7ACFAF3D" w14:textId="77777777"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0C82A2D6" w14:textId="77777777"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AAD9FF9" w14:textId="77777777"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41DEB7B9" w14:textId="77777777"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23"/>
        <w:gridCol w:w="2104"/>
        <w:gridCol w:w="1837"/>
        <w:gridCol w:w="6"/>
        <w:gridCol w:w="644"/>
        <w:gridCol w:w="6"/>
        <w:gridCol w:w="606"/>
        <w:gridCol w:w="9"/>
        <w:gridCol w:w="1315"/>
        <w:gridCol w:w="6"/>
        <w:gridCol w:w="484"/>
        <w:gridCol w:w="26"/>
        <w:gridCol w:w="1269"/>
        <w:gridCol w:w="11"/>
        <w:gridCol w:w="1077"/>
        <w:gridCol w:w="10"/>
        <w:gridCol w:w="1078"/>
        <w:gridCol w:w="10"/>
        <w:gridCol w:w="1078"/>
        <w:gridCol w:w="11"/>
        <w:gridCol w:w="1093"/>
      </w:tblGrid>
      <w:tr w:rsidR="00A41C18" w:rsidRPr="00BE0F02" w14:paraId="39AC20C6" w14:textId="77777777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AC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B9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3D1B" w14:textId="77777777"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8E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64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63B" w14:textId="77777777"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14:paraId="18DF5534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F84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0EA7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CC06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D43B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1F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17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D70C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1A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9A6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C0F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F43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FFD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D9B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14:paraId="68B9C683" w14:textId="77777777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62F6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49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AE6F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22B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E27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289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BFD8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6E6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24D6" w14:textId="77777777"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C66" w14:textId="77777777"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52AF" w14:textId="77777777"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52A" w14:textId="77777777"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2E" w14:textId="77777777" w:rsidR="00A41C18" w:rsidRDefault="00A41C18">
            <w:pPr>
              <w:jc w:val="center"/>
            </w:pPr>
          </w:p>
        </w:tc>
      </w:tr>
      <w:tr w:rsidR="00BE0F02" w14:paraId="3A5536F6" w14:textId="77777777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8ED2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219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F1A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FE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0A2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C227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110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60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FB9" w14:textId="3BDE37D6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09E" w14:textId="7DB34DC2" w:rsidR="00BE0F02" w:rsidRDefault="00BE0F02" w:rsidP="00BE0F02">
            <w:pPr>
              <w:jc w:val="center"/>
            </w:pPr>
            <w: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105" w14:textId="24F4B09F" w:rsidR="00BE0F02" w:rsidRDefault="00BE0F02" w:rsidP="00BE0F02">
            <w:pPr>
              <w:jc w:val="center"/>
            </w:pPr>
            <w:r>
              <w:t>19</w:t>
            </w:r>
            <w:r w:rsidR="007403E0">
              <w:t>,</w:t>
            </w:r>
            <w:r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9B92" w14:textId="7BA96C3A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FD7" w14:textId="546B84E8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16915595" w14:textId="77777777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5EF2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1D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A46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80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FE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CE8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80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5C1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3D6F" w14:textId="74A18759" w:rsidR="00BE0F02" w:rsidRDefault="00BE0F02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9F3F" w14:textId="62BB030F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825" w14:textId="77777777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8F7D" w14:textId="6B00682D" w:rsidR="00BE0F02" w:rsidRDefault="00BE0F02" w:rsidP="00BE0F02">
            <w:pPr>
              <w:jc w:val="center"/>
            </w:pPr>
            <w:r w:rsidRPr="000B4005"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58D" w14:textId="3317D0C5" w:rsidR="00BE0F02" w:rsidRDefault="00BE0F02" w:rsidP="00BE0F02">
            <w:pPr>
              <w:jc w:val="center"/>
            </w:pPr>
            <w:r>
              <w:t>0,0</w:t>
            </w:r>
          </w:p>
        </w:tc>
      </w:tr>
      <w:tr w:rsidR="00BE0F02" w14:paraId="32C8DD8E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35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D4B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72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007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FAD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F3C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443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4A8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476" w14:textId="7CBF4575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E21" w14:textId="3B7152C1" w:rsidR="00BE0F02" w:rsidRDefault="00BE0F02" w:rsidP="00BE0F02">
            <w:pPr>
              <w:jc w:val="center"/>
            </w:pPr>
            <w: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AF9" w14:textId="5E5EE63A" w:rsidR="00BE0F02" w:rsidRDefault="00BE0F02" w:rsidP="00BE0F02">
            <w:pPr>
              <w:jc w:val="center"/>
            </w:pPr>
            <w:r>
              <w:t>19</w:t>
            </w:r>
            <w:r w:rsidR="007403E0">
              <w:t>,</w:t>
            </w:r>
            <w:r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3E8" w14:textId="42D5F802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6FE" w14:textId="2356778E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679AA89A" w14:textId="77777777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5BAA" w14:textId="77777777"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2C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18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BFCA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0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0B59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1E77" w14:textId="583CE3AB"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97F" w14:textId="77777777"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4CE" w14:textId="67D7E86B"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71EC">
              <w:rPr>
                <w:b/>
              </w:rPr>
              <w:t>9</w:t>
            </w:r>
            <w:r w:rsidR="007403E0">
              <w:rPr>
                <w:b/>
              </w:rPr>
              <w:t>,</w:t>
            </w:r>
            <w:r>
              <w:rPr>
                <w:b/>
              </w:rPr>
              <w:t>245</w:t>
            </w:r>
            <w:r w:rsidR="00D871EC">
              <w:rPr>
                <w:b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A3F" w14:textId="526EECFF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EA55" w14:textId="026E20C3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14:paraId="33430119" w14:textId="77777777"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8FBD" w14:textId="77777777" w:rsidR="00594026" w:rsidRDefault="00594026">
      <w:r>
        <w:separator/>
      </w:r>
    </w:p>
  </w:endnote>
  <w:endnote w:type="continuationSeparator" w:id="0">
    <w:p w14:paraId="7D8D8ADB" w14:textId="77777777" w:rsidR="00594026" w:rsidRDefault="005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22E4" w14:textId="77777777" w:rsidR="00594026" w:rsidRDefault="00594026">
      <w:r>
        <w:separator/>
      </w:r>
    </w:p>
  </w:footnote>
  <w:footnote w:type="continuationSeparator" w:id="0">
    <w:p w14:paraId="363EAA6B" w14:textId="77777777" w:rsidR="00594026" w:rsidRDefault="0059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0C5B" w14:textId="77777777" w:rsidR="00A41C18" w:rsidRDefault="00A41C18">
    <w:pPr>
      <w:pStyle w:val="af1"/>
      <w:jc w:val="center"/>
    </w:pPr>
  </w:p>
  <w:p w14:paraId="5D95FA64" w14:textId="77777777" w:rsidR="00A41C18" w:rsidRDefault="00A41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4C54" w14:textId="77777777" w:rsidR="00A41C18" w:rsidRDefault="00A41C18">
    <w:pPr>
      <w:pStyle w:val="af1"/>
      <w:jc w:val="center"/>
    </w:pPr>
  </w:p>
  <w:p w14:paraId="67ED0682" w14:textId="77777777" w:rsidR="00A41C18" w:rsidRDefault="00A41C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8"/>
    <w:rsid w:val="00104EF5"/>
    <w:rsid w:val="003718CC"/>
    <w:rsid w:val="00594026"/>
    <w:rsid w:val="007403E0"/>
    <w:rsid w:val="007532BA"/>
    <w:rsid w:val="007942C8"/>
    <w:rsid w:val="00810580"/>
    <w:rsid w:val="00A26C60"/>
    <w:rsid w:val="00A317DA"/>
    <w:rsid w:val="00A41C18"/>
    <w:rsid w:val="00A82DF9"/>
    <w:rsid w:val="00B20E91"/>
    <w:rsid w:val="00BE0F02"/>
    <w:rsid w:val="00D871EC"/>
    <w:rsid w:val="00D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336"/>
  <w15:docId w15:val="{A41A384A-F3B1-429A-B43C-DD5D68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9</cp:revision>
  <cp:lastPrinted>2020-12-28T03:17:00Z</cp:lastPrinted>
  <dcterms:created xsi:type="dcterms:W3CDTF">2020-12-25T02:17:00Z</dcterms:created>
  <dcterms:modified xsi:type="dcterms:W3CDTF">2020-12-30T02:06:00Z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