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1387" w14:textId="77777777" w:rsidR="009219D6" w:rsidRDefault="009219D6" w:rsidP="009E18F1"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00A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Виды мер социальной поддержки при установлении статуса «Ветеран труда»</w:t>
      </w:r>
    </w:p>
    <w:p w14:paraId="4BF7F4FD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На территории Приморского края установлены следующие региональные выплаты при установлении статуса «Ветеран труда»:</w:t>
      </w:r>
    </w:p>
    <w:p w14:paraId="027E6AAD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Независимо от прекращения трудовой деятельности после достижения возраста 60 и 55 лет (соответственно мужчины и женщины) либо после установления (назначения) страховой пенсии в соответствии с Федеральным законом «О страховых пенсиях»:</w:t>
      </w:r>
    </w:p>
    <w:p w14:paraId="46CF1D61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Согласно Закону Приморского края «О социальной поддержке льготных категорий граждан, проживающих на территории Приморского края» предоставляется:</w:t>
      </w:r>
    </w:p>
    <w:p w14:paraId="12A6E45D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1. Ежемесячная денежная выплата, размер которой в 2021 году составляет 669 рублей (ежегодно индексируется).</w:t>
      </w:r>
    </w:p>
    <w:p w14:paraId="27939143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2. Компенсация расходов в размере 50 % на оплату:</w:t>
      </w:r>
    </w:p>
    <w:p w14:paraId="63388A22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жилых помещений исходя из занимаемой лицом, имеющим звание «Ветеран труда», а также нетрудоспособными членами его семьи, совместно с ним проживающими, находящимися на его полном содержании или получающими от него помощь, которая является для них постоянным и основным источником средств к существованию, в пределах размера регионального стандарта нормативной площади жилого помещения, используемой для расчета субсидий в Приморском крае, без учета льготного размера регионального стандарта нормативной площади жилого помещения для отдельных категорий граждан, установленной законодательством Приморского края;</w:t>
      </w:r>
    </w:p>
    <w:p w14:paraId="0B182F8B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взноса на капитальный ремонт общего имущества в многоквартирном доме (далее - взнос на капитальный ремонт), но не более 50 процентов указанного взноса, рассчитанный исходя из минимального размера взноса на капитальный ремонт на 1 квадратный метр общей площади жилого помещения в месяц, установленного постановлением Правительства Приморского края (для собственников жилых помещений);</w:t>
      </w:r>
    </w:p>
    <w:p w14:paraId="39E49E45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коммунальных услуг.</w:t>
      </w:r>
    </w:p>
    <w:p w14:paraId="12988E71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Ветеранам труда при достижении возраста 70 лет предоставляется компенсация расходов в размере 100 % на оплату взноса на капитальный ремонт.</w:t>
      </w:r>
    </w:p>
    <w:p w14:paraId="019D4292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3.  Компенсация в размере 50%:</w:t>
      </w:r>
    </w:p>
    <w:p w14:paraId="090F9364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от действующего тарифа по проезду на автомобильном, водном и железнодорожном транспорте общего пользования по маршрутам регулярных перевозок в междугородном сообщении Приморского края;</w:t>
      </w:r>
    </w:p>
    <w:p w14:paraId="35960739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18F1">
        <w:rPr>
          <w:sz w:val="28"/>
          <w:szCs w:val="28"/>
        </w:rPr>
        <w:t>стоимости билета длительного пользования для проезда в городском сообщении, предоставляющего право на неограниченное количество поездок в течение указанного срока действия;</w:t>
      </w:r>
    </w:p>
    <w:p w14:paraId="579FD4E8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18F1">
        <w:rPr>
          <w:sz w:val="28"/>
          <w:szCs w:val="28"/>
        </w:rPr>
        <w:t xml:space="preserve"> стоимости билета длительного пользования в пригородном сообщении, предоставляющего право на неограниченное и фиксированное количество поездок в течение указанного срока действия, за проезд </w:t>
      </w:r>
      <w:r w:rsidRPr="009E18F1">
        <w:rPr>
          <w:sz w:val="28"/>
          <w:szCs w:val="28"/>
        </w:rPr>
        <w:lastRenderedPageBreak/>
        <w:t>автомобильным транспортом общего пользования по маршрутам регулярных перевозок в пригородном сообщении Приморского края;</w:t>
      </w:r>
    </w:p>
    <w:p w14:paraId="29B7BD79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18F1">
        <w:rPr>
          <w:sz w:val="28"/>
          <w:szCs w:val="28"/>
        </w:rPr>
        <w:t>стоимости абонементного билета на проезд в железнодорожном транспорте пригородного сообщения Приморского края;</w:t>
      </w:r>
    </w:p>
    <w:p w14:paraId="08EC81BC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18F1">
        <w:rPr>
          <w:sz w:val="28"/>
          <w:szCs w:val="28"/>
        </w:rPr>
        <w:t xml:space="preserve">стоимости билета за проезд на воздушном транспорте, приобретенного по социальному тарифу на перевозки пассажиров воздушным транспортом на местных авиалиниях, включая местности Приморского края, приравненные к районам Крайнего Севера (в отношении лиц, постоянно проживающих на территориях </w:t>
      </w:r>
      <w:proofErr w:type="spellStart"/>
      <w:r w:rsidRPr="009E18F1">
        <w:rPr>
          <w:sz w:val="28"/>
          <w:szCs w:val="28"/>
        </w:rPr>
        <w:t>Дальнегорского</w:t>
      </w:r>
      <w:proofErr w:type="spellEnd"/>
      <w:r w:rsidRPr="009E18F1">
        <w:rPr>
          <w:sz w:val="28"/>
          <w:szCs w:val="28"/>
        </w:rPr>
        <w:t xml:space="preserve"> городского округа, </w:t>
      </w:r>
      <w:proofErr w:type="spellStart"/>
      <w:r w:rsidRPr="009E18F1">
        <w:rPr>
          <w:sz w:val="28"/>
          <w:szCs w:val="28"/>
        </w:rPr>
        <w:t>Дальнереченского</w:t>
      </w:r>
      <w:proofErr w:type="spellEnd"/>
      <w:r w:rsidRPr="009E18F1">
        <w:rPr>
          <w:sz w:val="28"/>
          <w:szCs w:val="28"/>
        </w:rPr>
        <w:t xml:space="preserve"> городского округа, </w:t>
      </w:r>
      <w:proofErr w:type="spellStart"/>
      <w:r w:rsidRPr="009E18F1">
        <w:rPr>
          <w:sz w:val="28"/>
          <w:szCs w:val="28"/>
        </w:rPr>
        <w:t>Дальнереченского</w:t>
      </w:r>
      <w:proofErr w:type="spellEnd"/>
      <w:r w:rsidRPr="009E18F1">
        <w:rPr>
          <w:sz w:val="28"/>
          <w:szCs w:val="28"/>
        </w:rPr>
        <w:t xml:space="preserve"> муниципального района, Кавалеровского муниципального района, Красноармейского муниципального района, Лазовского муниципального района, </w:t>
      </w:r>
      <w:proofErr w:type="spellStart"/>
      <w:r w:rsidRPr="009E18F1">
        <w:rPr>
          <w:sz w:val="28"/>
          <w:szCs w:val="28"/>
        </w:rPr>
        <w:t>Ольгинского</w:t>
      </w:r>
      <w:proofErr w:type="spellEnd"/>
      <w:r w:rsidRPr="009E18F1">
        <w:rPr>
          <w:sz w:val="28"/>
          <w:szCs w:val="28"/>
        </w:rPr>
        <w:t xml:space="preserve"> муниципального района, Пожарского муниципального района, </w:t>
      </w:r>
      <w:proofErr w:type="spellStart"/>
      <w:r w:rsidRPr="009E18F1">
        <w:rPr>
          <w:sz w:val="28"/>
          <w:szCs w:val="28"/>
        </w:rPr>
        <w:t>Тернейского</w:t>
      </w:r>
      <w:proofErr w:type="spellEnd"/>
      <w:r w:rsidRPr="009E18F1">
        <w:rPr>
          <w:sz w:val="28"/>
          <w:szCs w:val="28"/>
        </w:rPr>
        <w:t xml:space="preserve"> муниципального района).</w:t>
      </w:r>
    </w:p>
    <w:p w14:paraId="7439B44E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4. Денежная выплата при использовании карты «</w:t>
      </w:r>
      <w:proofErr w:type="spellStart"/>
      <w:r w:rsidRPr="009E18F1">
        <w:rPr>
          <w:sz w:val="28"/>
          <w:szCs w:val="28"/>
        </w:rPr>
        <w:t>Приморец</w:t>
      </w:r>
      <w:proofErr w:type="spellEnd"/>
      <w:r w:rsidRPr="009E18F1">
        <w:rPr>
          <w:sz w:val="28"/>
          <w:szCs w:val="28"/>
        </w:rPr>
        <w:t>» во внеуличном транспорте, городском наземном электрическом транспорте, автомобильном транспорте общего пользования в городском сообщении, оснащенных электронными устройствами системы оплаты и учета проезда.</w:t>
      </w:r>
    </w:p>
    <w:p w14:paraId="64C6F837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Карту «</w:t>
      </w:r>
      <w:proofErr w:type="spellStart"/>
      <w:r w:rsidRPr="009E18F1">
        <w:rPr>
          <w:sz w:val="28"/>
          <w:szCs w:val="28"/>
        </w:rPr>
        <w:t>Приморец</w:t>
      </w:r>
      <w:proofErr w:type="spellEnd"/>
      <w:r w:rsidRPr="009E18F1">
        <w:rPr>
          <w:sz w:val="28"/>
          <w:szCs w:val="28"/>
        </w:rPr>
        <w:t>» могут использовать все льготники Приморья старше 70 лет (в том числе ветераны труда), независимо от места своего проживания, при оплате проезда в городском транспорте - на автобусах, троллейбусах, трамваях, фуникулере.</w:t>
      </w:r>
    </w:p>
    <w:p w14:paraId="402D34C4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В настоящее время возможность использования карты «</w:t>
      </w:r>
      <w:proofErr w:type="spellStart"/>
      <w:r w:rsidRPr="009E18F1">
        <w:rPr>
          <w:sz w:val="28"/>
          <w:szCs w:val="28"/>
        </w:rPr>
        <w:t>Приморец</w:t>
      </w:r>
      <w:proofErr w:type="spellEnd"/>
      <w:r w:rsidRPr="009E18F1">
        <w:rPr>
          <w:sz w:val="28"/>
          <w:szCs w:val="28"/>
        </w:rPr>
        <w:t xml:space="preserve">» реализована на территории следующих населенных пунктов Приморского края: г. Владивосток, г. Артем, г. Большой Камень, г. Уссурийск, г. Находка, г. Арсеньев, </w:t>
      </w:r>
      <w:proofErr w:type="spellStart"/>
      <w:r w:rsidRPr="009E18F1">
        <w:rPr>
          <w:sz w:val="28"/>
          <w:szCs w:val="28"/>
        </w:rPr>
        <w:t>г.Фокино</w:t>
      </w:r>
      <w:proofErr w:type="spellEnd"/>
      <w:r w:rsidRPr="009E18F1">
        <w:rPr>
          <w:sz w:val="28"/>
          <w:szCs w:val="28"/>
        </w:rPr>
        <w:t>.</w:t>
      </w:r>
    </w:p>
    <w:p w14:paraId="214E146D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Для получения карты «</w:t>
      </w:r>
      <w:proofErr w:type="spellStart"/>
      <w:r w:rsidRPr="009E18F1">
        <w:rPr>
          <w:sz w:val="28"/>
          <w:szCs w:val="28"/>
        </w:rPr>
        <w:t>Приморец</w:t>
      </w:r>
      <w:proofErr w:type="spellEnd"/>
      <w:r w:rsidRPr="009E18F1">
        <w:rPr>
          <w:sz w:val="28"/>
          <w:szCs w:val="28"/>
        </w:rPr>
        <w:t>» необходимо обратиться с заявлением, паспортом, СНИЛС и удостоверением «Ветеран труда» в один из следующих банков: «</w:t>
      </w:r>
      <w:proofErr w:type="spellStart"/>
      <w:r w:rsidRPr="009E18F1">
        <w:rPr>
          <w:sz w:val="28"/>
          <w:szCs w:val="28"/>
        </w:rPr>
        <w:t>Примсоцбанк</w:t>
      </w:r>
      <w:proofErr w:type="spellEnd"/>
      <w:r w:rsidRPr="009E18F1">
        <w:rPr>
          <w:sz w:val="28"/>
          <w:szCs w:val="28"/>
        </w:rPr>
        <w:t>», «Азиатско-Тихоокеанский банк», «Почта Банк», «</w:t>
      </w:r>
      <w:proofErr w:type="spellStart"/>
      <w:r w:rsidRPr="009E18F1">
        <w:rPr>
          <w:sz w:val="28"/>
          <w:szCs w:val="28"/>
        </w:rPr>
        <w:t>Россельхозбанк</w:t>
      </w:r>
      <w:proofErr w:type="spellEnd"/>
      <w:r w:rsidRPr="009E18F1">
        <w:rPr>
          <w:sz w:val="28"/>
          <w:szCs w:val="28"/>
        </w:rPr>
        <w:t>», «Сбербанк», «Банк Приморье».</w:t>
      </w:r>
    </w:p>
    <w:p w14:paraId="4B726F8A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Денежная выплата предоставляется гражданам в размере 100 процентов стоимости проезда, но не более 300 рублей в месяц путем перечисления денежных средств на банковский счет карты «</w:t>
      </w:r>
      <w:proofErr w:type="spellStart"/>
      <w:r w:rsidRPr="009E18F1">
        <w:rPr>
          <w:sz w:val="28"/>
          <w:szCs w:val="28"/>
        </w:rPr>
        <w:t>Приморец</w:t>
      </w:r>
      <w:proofErr w:type="spellEnd"/>
      <w:r w:rsidRPr="009E18F1">
        <w:rPr>
          <w:sz w:val="28"/>
          <w:szCs w:val="28"/>
        </w:rPr>
        <w:t>».</w:t>
      </w:r>
    </w:p>
    <w:p w14:paraId="002DE817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5. Единовременная социальная выплата гражданам, получающим пенсию в Приморском крае.</w:t>
      </w:r>
    </w:p>
    <w:p w14:paraId="7C2D5D7E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Предоставляется всем пенсионерам (в том числе ветеранам труда, а также пенсионерам без льготных статусов), которые по состоянию на 31.12.2020 являлись получателями пенсии в Приморском крае. Выплата производится в размере 1 000 руб.</w:t>
      </w:r>
    </w:p>
    <w:p w14:paraId="7368B23E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6. Субсидия на оплату жилого помещения и коммунальных услуг:</w:t>
      </w:r>
    </w:p>
    <w:p w14:paraId="128AEC56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 xml:space="preserve">Предоставляется пользователям жилого помещения в государственном или муниципальном жилищном фонде, собственникам, нанимателям жилого помещения в частном жилищном фонде в случае,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</w:t>
      </w:r>
      <w:r w:rsidRPr="009E18F1">
        <w:rPr>
          <w:sz w:val="28"/>
          <w:szCs w:val="28"/>
        </w:rPr>
        <w:lastRenderedPageBreak/>
        <w:t>используемой для расчета субсидий, и размера региональных стандартов стоимости жилищно-коммунальных услуг, превышают 22 % максимально допустимой доли расходов граждан на оплату жилого помещения и коммунальных услуг в совокупном доходе семьи (для малоимущих семей – 10%).</w:t>
      </w:r>
    </w:p>
    <w:p w14:paraId="769963CC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Для повышения социальной защищенности семей одиноко проживающих пенсионеров и семей, состоящих из пенсионеров, при расчете субсидий применяется увеличенный региональный стандарт нормативной площади жилого помещения.</w:t>
      </w:r>
    </w:p>
    <w:p w14:paraId="75969107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Согласно Закону Приморского края от 11.06.2002 года № 241-КЗ «О защите прав граждан в жилищно-коммунальной сфере» с июля 2006 года для одиноко проживающих пенсионеров - до 19 кв. м общей площади жилья; для семей, состоящих только из пенсионеров, - до 10 кв. м общей площади жилья.</w:t>
      </w:r>
    </w:p>
    <w:p w14:paraId="2C46A691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7. Бесплатное приобретение путевки на санаторно-курортное лечение.</w:t>
      </w:r>
    </w:p>
    <w:p w14:paraId="2D70C73E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Предоставляется одиноко проживающим гражданам, имеющим звание «Ветеран труда», достигшим возраста 70 лет, имеющим среднедушевой доход ниже двукратной величины прожиточного минимума, установленного в Приморском крае, при отсутствии одновременно права на получение государственной социальной помощи в виде набора социальных услуг в соответствии с законодательством Российской Федерации (не являющимся федеральными льготниками).</w:t>
      </w:r>
    </w:p>
    <w:p w14:paraId="5A9862B3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Гражданам, доход которых не превышает величину прожиточного минимума (в том числе ветеранам труда), согласно Закону Приморского края от 06.06.2005 № 255-КЗ «О государственной социальной помощи в Приморском крае может предоставляться:</w:t>
      </w:r>
    </w:p>
    <w:p w14:paraId="230F4A51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8. Региональная социальная доплата к пенсии.</w:t>
      </w:r>
    </w:p>
    <w:p w14:paraId="1CA2BE60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Предоставляется в случае, если общая сумму материального обеспечения пенсионера ниже величины прожиточного минимума.</w:t>
      </w:r>
    </w:p>
    <w:p w14:paraId="2A6E1E27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 xml:space="preserve">Напомним, что величина прожиточного минимума пенсионера в Приморском крае на 2021 год установлена в размере 12 </w:t>
      </w:r>
      <w:proofErr w:type="gramStart"/>
      <w:r w:rsidRPr="009E18F1">
        <w:rPr>
          <w:sz w:val="28"/>
          <w:szCs w:val="28"/>
        </w:rPr>
        <w:t>119  руб.</w:t>
      </w:r>
      <w:proofErr w:type="gramEnd"/>
    </w:p>
    <w:p w14:paraId="5D877743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9. Единовременная выплата неработающим пенсионерам.</w:t>
      </w:r>
    </w:p>
    <w:p w14:paraId="30F72EEA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Выплачивается 1 раз в год с 2020 по 2024 годы в размере 6 000 руб.</w:t>
      </w:r>
    </w:p>
    <w:p w14:paraId="15CF9E3A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10. Государственная социальная помощь.</w:t>
      </w:r>
    </w:p>
    <w:p w14:paraId="58F5DB07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Предоставляется гражданам или семьям, имеющим среднедушевой доход ниже величины прожиточного минимума по независящим от них причинам, в связи с расходами на приобретение предметов первой необходимости, лекарственных средств по рецептам врача, с рождением ребенка или гражданам, направляемым министерством здравоохранения Приморского края на лечение (консультирование) за пределы Приморского края.</w:t>
      </w:r>
    </w:p>
    <w:p w14:paraId="6AE09214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t>Законом Приморского края от 29.12.2003 № 90-КЗ «О регулировании земельных отношений в Приморском крае» также предусмотрено однократное бесплатное предоставление земельного участка.</w:t>
      </w:r>
    </w:p>
    <w:p w14:paraId="4450F0BE" w14:textId="77777777" w:rsidR="009219D6" w:rsidRPr="009E18F1" w:rsidRDefault="009219D6" w:rsidP="009E18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18F1">
        <w:rPr>
          <w:sz w:val="28"/>
          <w:szCs w:val="28"/>
        </w:rPr>
        <w:lastRenderedPageBreak/>
        <w:t>Предоставляется министерством земельных и имущественных отношений Приморского края или органами местного самоуправления для ведения садоводства, огородничества, животноводства, личного подсобного хозяйства (по выбору граждан).</w:t>
      </w:r>
    </w:p>
    <w:p w14:paraId="70307D04" w14:textId="77777777" w:rsidR="009219D6" w:rsidRPr="009E18F1" w:rsidRDefault="009219D6" w:rsidP="009E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219D6" w:rsidRPr="009E18F1" w:rsidSect="0070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57B"/>
    <w:rsid w:val="001B4DBD"/>
    <w:rsid w:val="002B538C"/>
    <w:rsid w:val="002E375F"/>
    <w:rsid w:val="004E00A0"/>
    <w:rsid w:val="0052686C"/>
    <w:rsid w:val="00624D4E"/>
    <w:rsid w:val="006820AD"/>
    <w:rsid w:val="0069341B"/>
    <w:rsid w:val="007028A8"/>
    <w:rsid w:val="007E0772"/>
    <w:rsid w:val="009219D6"/>
    <w:rsid w:val="009E18F1"/>
    <w:rsid w:val="00B1057C"/>
    <w:rsid w:val="00B16278"/>
    <w:rsid w:val="00CD357B"/>
    <w:rsid w:val="00E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731ED"/>
  <w15:docId w15:val="{29981778-240E-4092-A9D6-6DB3F3D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6749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Анна С. Курилина</cp:lastModifiedBy>
  <cp:revision>7</cp:revision>
  <cp:lastPrinted>2021-02-08T03:12:00Z</cp:lastPrinted>
  <dcterms:created xsi:type="dcterms:W3CDTF">2021-02-08T03:49:00Z</dcterms:created>
  <dcterms:modified xsi:type="dcterms:W3CDTF">2021-02-10T23:21:00Z</dcterms:modified>
</cp:coreProperties>
</file>