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27" w:line="240" w:lineRule="auto"/>
        <w:ind w:right="-142" w:firstLine="426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73660</wp:posOffset>
            </wp:positionV>
            <wp:extent cx="655320" cy="906780"/>
            <wp:effectExtent l="0" t="0" r="0" b="762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227" w:line="240" w:lineRule="auto"/>
        <w:ind w:firstLine="426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shd w:val="clear" w:color="auto" w:fill="FFFFFF"/>
        <w:spacing w:before="227" w:line="240" w:lineRule="auto"/>
        <w:ind w:firstLine="426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</w:t>
      </w:r>
    </w:p>
    <w:p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</w:p>
    <w:p>
      <w:pPr>
        <w:keepNext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АНУЧИНСКОГО МУНИЦИПАЛЬНОГО ОКРУГА</w:t>
      </w:r>
    </w:p>
    <w:p>
      <w:pPr>
        <w:keepNext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>
      <w:pPr>
        <w:keepNext/>
        <w:spacing w:after="0" w:line="240" w:lineRule="auto"/>
        <w:ind w:firstLine="426"/>
        <w:jc w:val="center"/>
        <w:outlineLvl w:val="0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>
      <w:pPr>
        <w:keepNext/>
        <w:shd w:val="clear" w:color="auto" w:fill="FFFFFF"/>
        <w:spacing w:line="240" w:lineRule="auto"/>
        <w:ind w:firstLine="426"/>
        <w:jc w:val="center"/>
        <w:outlineLvl w:val="1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П О С Т А Н О В Л Е Н И Е</w:t>
      </w:r>
    </w:p>
    <w:p>
      <w:pPr>
        <w:spacing w:line="240" w:lineRule="auto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.07.2021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с. Анучино        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535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>
      <w:pPr>
        <w:pStyle w:val="8"/>
        <w:jc w:val="center"/>
      </w:pPr>
      <w:r>
        <w:t>инвентаризации мест захоронений на кладбищах,</w:t>
      </w:r>
    </w:p>
    <w:p>
      <w:pPr>
        <w:pStyle w:val="8"/>
        <w:jc w:val="center"/>
      </w:pPr>
      <w:r>
        <w:t>расположенных на территории Анучинского муниципального</w:t>
      </w:r>
    </w:p>
    <w:p>
      <w:pPr>
        <w:pStyle w:val="8"/>
        <w:jc w:val="center"/>
      </w:pPr>
      <w:r>
        <w:t>округа Приморского края</w:t>
      </w:r>
    </w:p>
    <w:bookmarkEnd w:id="0"/>
    <w:p>
      <w:pPr>
        <w:pStyle w:val="8"/>
        <w:jc w:val="center"/>
      </w:pPr>
    </w:p>
    <w:p>
      <w:pPr>
        <w:pStyle w:val="8"/>
        <w:jc w:val="center"/>
      </w:pPr>
    </w:p>
    <w:p>
      <w:pPr>
        <w:pStyle w:val="6"/>
        <w:spacing w:line="360" w:lineRule="auto"/>
        <w:ind w:firstLine="709"/>
        <w:jc w:val="both"/>
      </w:pPr>
      <w:r>
        <w:t xml:space="preserve">В соответствии </w:t>
      </w:r>
      <w:r>
        <w:rPr>
          <w:color w:val="auto"/>
        </w:rPr>
        <w:t>с Федеральными законами от 6.10.2003 года № 131-ФЗ «Об общих принципах организации местного самоуправления в Российской Федерации», от 12.01.1996 года № 8-ФЗ «О погребении и похоронном деле», Законом Приморского края от 23.12.2005 № 332-КЗ «О погребении и похоронном деле в Приморском крае»</w:t>
      </w:r>
      <w:r>
        <w:t>, пункта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дела, проведенной Контрольным управлением Президента Российской Федерации от 9.07.2017 года № Пр-1330, Устава Анучинского муниципального округа Приморского края, администрация Анучинского муниципального округа Приморского края</w:t>
      </w:r>
    </w:p>
    <w:p>
      <w:pPr>
        <w:pStyle w:val="6"/>
        <w:spacing w:line="360" w:lineRule="auto"/>
        <w:ind w:firstLine="426"/>
        <w:jc w:val="both"/>
        <w:rPr>
          <w:b/>
        </w:rPr>
      </w:pPr>
    </w:p>
    <w:p>
      <w:pPr>
        <w:pStyle w:val="1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>
      <w:pPr>
        <w:pStyle w:val="12"/>
        <w:jc w:val="both"/>
        <w:rPr>
          <w:b w:val="0"/>
          <w:bCs w:val="0"/>
          <w:sz w:val="28"/>
          <w:szCs w:val="28"/>
        </w:rPr>
      </w:pPr>
    </w:p>
    <w:p>
      <w:pPr>
        <w:pStyle w:val="12"/>
        <w:jc w:val="both"/>
        <w:rPr>
          <w:b w:val="0"/>
          <w:bCs w:val="0"/>
          <w:sz w:val="28"/>
          <w:szCs w:val="28"/>
        </w:rPr>
      </w:pPr>
    </w:p>
    <w:p>
      <w:pPr>
        <w:pStyle w:val="6"/>
        <w:spacing w:line="360" w:lineRule="auto"/>
        <w:ind w:right="-1" w:firstLine="709"/>
        <w:jc w:val="both"/>
      </w:pPr>
      <w:r>
        <w:t>1. Утвердить порядок проведения инвентаризации мест захоронений на кладбищах, расположенных на территории Анучинского муниципального округа Приморского края.</w:t>
      </w:r>
    </w:p>
    <w:p>
      <w:pPr>
        <w:pStyle w:val="5"/>
        <w:tabs>
          <w:tab w:val="left" w:pos="0"/>
          <w:tab w:val="left" w:pos="709"/>
        </w:tabs>
        <w:spacing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>
        <w:rPr>
          <w:sz w:val="28"/>
          <w:szCs w:val="28"/>
        </w:rPr>
        <w:t>Общему отделу администрации Анучинского муниципального округа (Бурдейной) опубликовать постановление в средствах массовой информации и разместить на официальном сайте администрации Анучинского муниципального округа Приморского края в информационно-телекоммуникационной сети Интернет.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Анучинского муниципального округа Приморского края.</w:t>
      </w:r>
    </w:p>
    <w:p>
      <w:pPr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Анучинского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С.А. Понуровский</w:t>
      </w:r>
    </w:p>
    <w:p>
      <w:pPr>
        <w:pStyle w:val="8"/>
        <w:jc w:val="center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ind w:firstLine="375"/>
        <w:jc w:val="both"/>
      </w:pP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«УТВЕРЖДЕН»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администрации 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Анучинского муниципального округа 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>
      <w:pPr>
        <w:pStyle w:val="6"/>
        <w:jc w:val="right"/>
      </w:pPr>
      <w:r>
        <w:rPr>
          <w:sz w:val="20"/>
          <w:szCs w:val="20"/>
        </w:rPr>
        <w:t>от «</w:t>
      </w:r>
      <w:r>
        <w:rPr>
          <w:sz w:val="20"/>
          <w:szCs w:val="20"/>
          <w:lang w:val="en-US"/>
        </w:rPr>
        <w:t>07</w:t>
      </w:r>
      <w:r>
        <w:rPr>
          <w:sz w:val="20"/>
          <w:szCs w:val="20"/>
        </w:rPr>
        <w:t>»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июля 2021 г. № 535 </w:t>
      </w:r>
    </w:p>
    <w:p>
      <w:pPr>
        <w:pStyle w:val="6"/>
        <w:jc w:val="center"/>
      </w:pPr>
    </w:p>
    <w:p>
      <w:pPr>
        <w:pStyle w:val="6"/>
        <w:jc w:val="center"/>
      </w:pPr>
    </w:p>
    <w:p>
      <w:pPr>
        <w:pStyle w:val="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инвентаризации мест</w:t>
      </w:r>
    </w:p>
    <w:p>
      <w:pPr>
        <w:pStyle w:val="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захоронений на кладбищах, расположенных на территории</w:t>
      </w:r>
    </w:p>
    <w:p>
      <w:pPr>
        <w:pStyle w:val="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Анучинского муниципального округа Приморского края</w:t>
      </w:r>
    </w:p>
    <w:p>
      <w:pPr>
        <w:pStyle w:val="6"/>
        <w:jc w:val="center"/>
        <w:rPr>
          <w:sz w:val="26"/>
          <w:szCs w:val="26"/>
        </w:rPr>
      </w:pPr>
    </w:p>
    <w:p>
      <w:pPr>
        <w:pStyle w:val="6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>
      <w:pPr>
        <w:pStyle w:val="6"/>
        <w:jc w:val="center"/>
        <w:rPr>
          <w:sz w:val="26"/>
          <w:szCs w:val="26"/>
        </w:rPr>
      </w:pP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Анучинского муниципального округа Приморского края (далее соответственно - места захоронений, кладбища).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них. </w:t>
      </w:r>
    </w:p>
    <w:p>
      <w:pPr>
        <w:widowControl w:val="0"/>
        <w:tabs>
          <w:tab w:val="left" w:pos="7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Федеральными законами от 6.10.2003 года № 131-ФЗ «Об общих принципах организации местного самоуправления в Российской Федерации», от 12.01.1996 года № 8-ФЗ «О погребении и похоронном деле», Законом Приморского края РТ 23.12.2005 № 332-КЗ «О погребении и похоронном деле в Приморском крае», пункта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дела, проведенной Контрольным управлением Президента Российской Федерации от 9.07.2017 года № Пр-1330.     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1.3. Основными задачами инвентаризации мест захоронений на кладбищах являются:</w:t>
      </w:r>
    </w:p>
    <w:p>
      <w:pPr>
        <w:pStyle w:val="6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>
      <w:pPr>
        <w:pStyle w:val="6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бесхозных (неучтенных) мест захоронений и принятие мер по их регистрации;</w:t>
      </w:r>
    </w:p>
    <w:p>
      <w:pPr>
        <w:pStyle w:val="6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систематизация данных о различных местах захоронений;</w:t>
      </w:r>
    </w:p>
    <w:p>
      <w:pPr>
        <w:pStyle w:val="6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создание электронной базы мест захоронений;</w:t>
      </w:r>
    </w:p>
    <w:p>
      <w:pPr>
        <w:pStyle w:val="6"/>
        <w:spacing w:line="360" w:lineRule="auto"/>
        <w:ind w:firstLine="37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планирование территории кладбища;</w:t>
      </w:r>
    </w:p>
    <w:p>
      <w:pPr>
        <w:pStyle w:val="6"/>
        <w:spacing w:line="360" w:lineRule="auto"/>
        <w:ind w:firstLine="37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а</w:t>
      </w:r>
      <w:r>
        <w:rPr>
          <w:rFonts w:eastAsia="Times New Roman"/>
          <w:sz w:val="26"/>
          <w:szCs w:val="26"/>
        </w:rPr>
        <w:t>нализ соответствия фактических границ с кадастровыми;</w:t>
      </w:r>
    </w:p>
    <w:p>
      <w:pPr>
        <w:pStyle w:val="6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доступности информации о местах захоронений.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1.4. Инвентаризация мест захоронений на кладбищах проводится не реже одного раза в три года.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1.5. Объектами инвентаризации являются все места захоронений, произведенные на кладбищах, находящихся в ведении администрации Анучинского муниципального округа Приморского края (далее – администрация).</w:t>
      </w:r>
    </w:p>
    <w:p>
      <w:pPr>
        <w:pStyle w:val="6"/>
        <w:ind w:firstLine="375"/>
        <w:jc w:val="both"/>
        <w:rPr>
          <w:sz w:val="26"/>
          <w:szCs w:val="26"/>
        </w:rPr>
      </w:pPr>
    </w:p>
    <w:p>
      <w:pPr>
        <w:pStyle w:val="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Общие правила проведения инвентаризации </w:t>
      </w:r>
    </w:p>
    <w:p>
      <w:pPr>
        <w:pStyle w:val="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мест захоронений </w:t>
      </w:r>
    </w:p>
    <w:p>
      <w:pPr>
        <w:pStyle w:val="6"/>
        <w:ind w:firstLine="375"/>
        <w:jc w:val="both"/>
        <w:rPr>
          <w:sz w:val="26"/>
          <w:szCs w:val="26"/>
        </w:rPr>
      </w:pP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2.1. Решение о проведении инвентаризации мест захоронений на кладбищах, находящихся в ведении администрации, сроках ее проведения, перечне кладбищ, на которых планируется провести инвентаризацию мест захоронений, принимается администрацией округа путем принятия муниципального правового акта.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2.2. Инвентаризация мест захоронений на кладбищах проводится администрацией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В случае проведения инвентаризации непосредственно администрацией,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руководителем администрации. 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состав инвентаризационной комиссии включаются: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комиссии;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председателя комиссии;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члены комиссии. 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 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проведения инвентаризации организацией, администрация прописывает в техническом задании: правила, сроки и условия проведения инвентаризации.</w:t>
      </w:r>
      <w:r>
        <w:rPr>
          <w:rFonts w:ascii="Open Sans" w:hAnsi="Open Sans"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Она не только выполняет перепись могил, но и составляет геодезический план-схему, на котором указаны все захоронения, а также вносит полученные данные в систему – специальное программное обеспечение.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2.4.1. Отсутствие книг регистрации мест захоронений вследствие их утраты либо неведения по каким-либо причинам не может служить основанием для непроведения инвентаризации мест захоронений на соответствующем кладбище.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2.5. 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смерти, возраст умершего), определение наличия и состояния,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 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>
      <w:pPr>
        <w:pStyle w:val="6"/>
        <w:jc w:val="center"/>
        <w:rPr>
          <w:sz w:val="26"/>
          <w:szCs w:val="26"/>
        </w:rPr>
      </w:pPr>
    </w:p>
    <w:p>
      <w:pPr>
        <w:pStyle w:val="6"/>
        <w:jc w:val="center"/>
        <w:rPr>
          <w:sz w:val="26"/>
          <w:szCs w:val="26"/>
        </w:rPr>
      </w:pPr>
      <w:r>
        <w:rPr>
          <w:sz w:val="26"/>
          <w:szCs w:val="26"/>
        </w:rPr>
        <w:t>3. Мероприятия, проводимые по результатам проведения</w:t>
      </w:r>
    </w:p>
    <w:p>
      <w:pPr>
        <w:pStyle w:val="6"/>
        <w:jc w:val="center"/>
        <w:rPr>
          <w:sz w:val="26"/>
          <w:szCs w:val="26"/>
        </w:rPr>
      </w:pPr>
      <w:r>
        <w:rPr>
          <w:sz w:val="26"/>
          <w:szCs w:val="26"/>
        </w:rPr>
        <w:t>инвентаризации мест захоронений</w:t>
      </w:r>
    </w:p>
    <w:p>
      <w:pPr>
        <w:pStyle w:val="6"/>
        <w:jc w:val="center"/>
        <w:rPr>
          <w:sz w:val="26"/>
          <w:szCs w:val="26"/>
        </w:rPr>
      </w:pP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3.1. По результатам проведения инвентаризации мест захоронений: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3.1.2.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Анучинского муниципального округа Приморского края.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Создание единого электронного документа о местах захоронений на кладбищах, расположенных на территории Анучинского муниципального округа Приморского края, происходит в специальном программном обеспечении, которое позволяет полностью автоматизировать процесс инвентаризации и учета захоронений, выделение земельных участков под новые захоронения.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Перечень и структура полей для заполнения в едином электронном документе указаны в приложении 3 к настоящему порядку.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Инвентаризационная комиссия либо организация обеспечивает электронное взаимодействие с программным обеспечением в части передачи сведений в единый электронный документ, включая координаты границ мест захоронений. 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 По результатам инвентаризации мест захоронений проводятся следующие мероприятия: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>
      <w:pPr>
        <w:pStyle w:val="6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>
      <w:pPr>
        <w:spacing w:after="0" w:line="240" w:lineRule="auto"/>
        <w:ind w:firstLine="426"/>
      </w:pPr>
      <w:r>
        <w:rPr>
          <w:rFonts w:ascii="Times New Roman" w:hAnsi="Times New Roman" w:cs="Times New Roman"/>
          <w:sz w:val="26"/>
          <w:szCs w:val="26"/>
        </w:rPr>
        <w:t xml:space="preserve">3.2.5. </w:t>
      </w:r>
      <w:r>
        <w:rPr>
          <w:rFonts w:ascii="Times New Roman" w:hAnsi="Times New Roman" w:eastAsia="Times New Roman" w:cs="Times New Roman"/>
          <w:sz w:val="26"/>
          <w:szCs w:val="26"/>
        </w:rPr>
        <w:t>Полученные результаты являются общедоступными.</w:t>
      </w:r>
    </w:p>
    <w:p>
      <w:pPr>
        <w:pStyle w:val="6"/>
        <w:spacing w:line="360" w:lineRule="auto"/>
        <w:ind w:firstLine="426"/>
        <w:jc w:val="both"/>
      </w:pPr>
    </w:p>
    <w:p>
      <w:pPr>
        <w:pStyle w:val="6"/>
        <w:spacing w:line="360" w:lineRule="auto"/>
        <w:ind w:firstLine="426"/>
        <w:jc w:val="both"/>
      </w:pPr>
    </w:p>
    <w:p>
      <w:pPr>
        <w:pStyle w:val="6"/>
        <w:spacing w:line="360" w:lineRule="auto"/>
        <w:ind w:firstLine="426"/>
        <w:jc w:val="both"/>
      </w:pPr>
    </w:p>
    <w:p>
      <w:pPr>
        <w:pStyle w:val="6"/>
        <w:spacing w:line="360" w:lineRule="auto"/>
        <w:ind w:firstLine="426"/>
        <w:jc w:val="both"/>
      </w:pPr>
    </w:p>
    <w:p>
      <w:pPr>
        <w:pStyle w:val="6"/>
        <w:spacing w:line="360" w:lineRule="auto"/>
        <w:ind w:firstLine="426"/>
        <w:jc w:val="both"/>
      </w:pPr>
    </w:p>
    <w:p>
      <w:pPr>
        <w:pStyle w:val="6"/>
        <w:spacing w:line="360" w:lineRule="auto"/>
        <w:ind w:firstLine="426"/>
        <w:jc w:val="both"/>
      </w:pPr>
    </w:p>
    <w:p>
      <w:pPr>
        <w:pStyle w:val="6"/>
        <w:jc w:val="both"/>
      </w:pP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Приложение1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мест захоронений на кладбищах,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расположенных на территории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Анучинского муниципального округа 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>
      <w:pPr>
        <w:pStyle w:val="6"/>
        <w:jc w:val="center"/>
      </w:pPr>
    </w:p>
    <w:p>
      <w:pPr>
        <w:pStyle w:val="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>
      <w:pPr>
        <w:pStyle w:val="6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>
      <w:pPr>
        <w:pStyle w:val="6"/>
        <w:jc w:val="center"/>
      </w:pPr>
      <w:r>
        <w:t>___________________________________________________________</w:t>
      </w:r>
    </w:p>
    <w:p>
      <w:pPr>
        <w:pStyle w:val="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>
      <w:pPr>
        <w:pStyle w:val="6"/>
      </w:pPr>
    </w:p>
    <w:tbl>
      <w:tblPr>
        <w:tblStyle w:val="3"/>
        <w:tblW w:w="10206" w:type="dxa"/>
        <w:tblInd w:w="60" w:type="dxa"/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284"/>
        <w:gridCol w:w="1276"/>
        <w:gridCol w:w="1275"/>
        <w:gridCol w:w="1418"/>
        <w:gridCol w:w="1417"/>
        <w:gridCol w:w="993"/>
        <w:gridCol w:w="992"/>
        <w:gridCol w:w="1276"/>
        <w:gridCol w:w="1275"/>
      </w:tblGrid>
      <w:tr>
        <w:tc>
          <w:tcPr>
            <w:tcW w:w="2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места захоронения, указанный в книге регистрации захоронений 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места захоронения, указанный на регистрационном знаке места захоронения &lt;*&gt;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захороненного:</w:t>
            </w:r>
          </w:p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</w:t>
            </w:r>
          </w:p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- дата смерти, возраст умершего 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сектора, ряда, участка, могилы</w:t>
            </w:r>
          </w:p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(места захоронения)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места захоронения (ширина, длина, площадь</w:t>
            </w:r>
          </w:p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места захоронения 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&lt;***&gt;</w:t>
            </w:r>
          </w:p>
        </w:tc>
      </w:tr>
      <w:tr>
        <w:tc>
          <w:tcPr>
            <w:tcW w:w="2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</w:tbl>
    <w:p>
      <w:pPr>
        <w:pStyle w:val="6"/>
        <w:jc w:val="center"/>
      </w:pPr>
    </w:p>
    <w:tbl>
      <w:tblPr>
        <w:tblStyle w:val="3"/>
        <w:tblW w:w="0" w:type="auto"/>
        <w:tblInd w:w="135" w:type="dxa"/>
        <w:tblLayout w:type="fixed"/>
        <w:tblCellMar>
          <w:top w:w="0" w:type="dxa"/>
          <w:left w:w="135" w:type="dxa"/>
          <w:bottom w:w="0" w:type="dxa"/>
          <w:right w:w="135" w:type="dxa"/>
        </w:tblCellMar>
      </w:tblPr>
      <w:tblGrid>
        <w:gridCol w:w="9945"/>
      </w:tblGrid>
      <w:tr>
        <w:tblPrEx>
          <w:tblCellMar>
            <w:top w:w="0" w:type="dxa"/>
            <w:left w:w="135" w:type="dxa"/>
            <w:bottom w:w="0" w:type="dxa"/>
            <w:right w:w="135" w:type="dxa"/>
          </w:tblCellMar>
        </w:tblPrEx>
        <w:trPr>
          <w:trHeight w:val="998" w:hRule="atLeast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</w:pPr>
            <w:r>
              <w:t>Итого по описи:</w:t>
            </w:r>
          </w:p>
          <w:p>
            <w:pPr>
              <w:pStyle w:val="6"/>
              <w:ind w:firstLine="375"/>
            </w:pPr>
          </w:p>
          <w:p>
            <w:pPr>
              <w:pStyle w:val="6"/>
              <w:jc w:val="both"/>
            </w:pPr>
            <w:r>
              <w:t>- количество мест захоронений всего по инвентаризационной описи ___________ единиц (_______);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(прописью) </w:t>
            </w:r>
          </w:p>
          <w:p>
            <w:pPr>
              <w:pStyle w:val="6"/>
            </w:pPr>
            <w:r>
              <w:t>- в том числе:</w:t>
            </w:r>
          </w:p>
          <w:p>
            <w:pPr>
              <w:pStyle w:val="6"/>
              <w:jc w:val="both"/>
            </w:pPr>
            <w:r>
              <w:t>- количество захоронений, зарегистрированных в книге регистрации мест захоронений (захоронений урн прахом) ___________ единиц ( ___________ );</w:t>
            </w:r>
          </w:p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(прописью)</w:t>
            </w:r>
          </w:p>
          <w:p>
            <w:pPr>
              <w:pStyle w:val="6"/>
              <w:jc w:val="both"/>
            </w:pPr>
            <w:r>
              <w:t>- количество захоронений, не зарегистрированных в книге регистрации мест захоронений (захоронений урн с прахом) ___________ единиц ( __________ );</w:t>
            </w:r>
          </w:p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(прописью)</w:t>
            </w:r>
          </w:p>
          <w:p>
            <w:pPr>
              <w:pStyle w:val="6"/>
              <w:jc w:val="both"/>
            </w:pPr>
            <w:r>
              <w:t>- количество мест захоронений, содержание которых не осуществляется __________ единиц (______)</w:t>
            </w:r>
          </w:p>
          <w:p>
            <w:pPr>
              <w:pStyle w:val="6"/>
              <w:ind w:firstLine="2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(прописью)</w:t>
            </w:r>
          </w:p>
          <w:p>
            <w:pPr>
              <w:pStyle w:val="6"/>
              <w:jc w:val="both"/>
              <w:rPr>
                <w:sz w:val="26"/>
                <w:szCs w:val="26"/>
              </w:rPr>
            </w:pPr>
          </w:p>
          <w:p>
            <w:pPr>
              <w:pStyle w:val="6"/>
            </w:pPr>
            <w:r>
              <w:rPr>
                <w:sz w:val="26"/>
                <w:szCs w:val="26"/>
              </w:rPr>
              <w:t>Председатель инвентаризационной комиссии:</w:t>
            </w:r>
            <w:r>
              <w:t xml:space="preserve"> ___________________________________________________________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>
            <w:pPr>
              <w:pStyle w:val="6"/>
              <w:ind w:firstLine="375"/>
            </w:pPr>
          </w:p>
          <w:p>
            <w:pPr>
              <w:pStyle w:val="6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___________________________________________________________ 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>
            <w:pPr>
              <w:pStyle w:val="6"/>
            </w:pPr>
          </w:p>
          <w:p>
            <w:pPr>
              <w:pStyle w:val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инвентаризационной комиссии:</w:t>
            </w:r>
          </w:p>
          <w:p>
            <w:pPr>
              <w:pStyle w:val="6"/>
            </w:pPr>
            <w:r>
              <w:t>___________________________________________________________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>
            <w:pPr>
              <w:pStyle w:val="6"/>
            </w:pPr>
            <w:r>
              <w:t>___________________________________________________________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>
            <w:pPr>
              <w:pStyle w:val="6"/>
            </w:pPr>
            <w:r>
              <w:t>___________________________________________________________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>
            <w:pPr>
              <w:pStyle w:val="6"/>
            </w:pPr>
            <w:r>
              <w:t>___________________________________________________________</w:t>
            </w:r>
          </w:p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подпись, расшифровка подписи, дата) </w:t>
            </w:r>
          </w:p>
          <w:p>
            <w:pPr>
              <w:pStyle w:val="6"/>
              <w:ind w:firstLine="375"/>
            </w:pPr>
          </w:p>
          <w:p>
            <w:pPr>
              <w:pStyle w:val="6"/>
              <w:ind w:firstLine="375"/>
            </w:pPr>
          </w:p>
          <w:p>
            <w:pPr>
              <w:pStyle w:val="6"/>
            </w:pPr>
            <w:r>
              <w:t>-------------------------------------------------------------------------------</w:t>
            </w:r>
          </w:p>
          <w:p>
            <w:pPr>
              <w:pStyle w:val="6"/>
              <w:ind w:firstLine="3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>
            <w:pPr>
              <w:pStyle w:val="6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>
            <w:pPr>
              <w:pStyle w:val="6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>
            <w:pPr>
              <w:pStyle w:val="6"/>
              <w:ind w:firstLine="375"/>
              <w:jc w:val="both"/>
            </w:pPr>
            <w:r>
              <w:rPr>
                <w:sz w:val="18"/>
                <w:szCs w:val="18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>
      <w:pPr>
        <w:pStyle w:val="6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ind w:firstLine="750"/>
      </w:pP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мест захоронений на кладбищах,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расположенных на территории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Анучинского муниципального округа 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>
      <w:pPr>
        <w:pStyle w:val="6"/>
        <w:jc w:val="right"/>
      </w:pPr>
    </w:p>
    <w:p>
      <w:pPr>
        <w:pStyle w:val="6"/>
        <w:jc w:val="right"/>
      </w:pPr>
    </w:p>
    <w:p>
      <w:pPr>
        <w:pStyle w:val="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>
      <w:pPr>
        <w:pStyle w:val="6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>
      <w:pPr>
        <w:pStyle w:val="6"/>
        <w:jc w:val="center"/>
      </w:pPr>
      <w:r>
        <w:t>_________________________________________________________________</w:t>
      </w:r>
    </w:p>
    <w:p>
      <w:pPr>
        <w:pStyle w:val="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>
      <w:pPr>
        <w:pStyle w:val="6"/>
        <w:jc w:val="center"/>
      </w:pPr>
    </w:p>
    <w:p>
      <w:pPr>
        <w:pStyle w:val="6"/>
        <w:jc w:val="center"/>
      </w:pPr>
    </w:p>
    <w:tbl>
      <w:tblPr>
        <w:tblStyle w:val="3"/>
        <w:tblW w:w="0" w:type="auto"/>
        <w:tblInd w:w="60" w:type="dxa"/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570"/>
        <w:gridCol w:w="2549"/>
        <w:gridCol w:w="3118"/>
        <w:gridCol w:w="3402"/>
      </w:tblGrid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54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мест захоронений </w:t>
            </w:r>
          </w:p>
        </w:tc>
        <w:tc>
          <w:tcPr>
            <w:tcW w:w="6520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Результат, выявленный инвентаризацией мест захоронений 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мест захоронений, учтенных в книге регистрации мест захоронений 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мест захоронений, не учтенных в книге регистрации мест захоронений 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</w:pPr>
            <w:r>
              <w:t xml:space="preserve">1 </w:t>
            </w:r>
          </w:p>
        </w:tc>
        <w:tc>
          <w:tcPr>
            <w:tcW w:w="2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</w:pPr>
            <w:r>
              <w:t xml:space="preserve">2 </w:t>
            </w:r>
          </w:p>
        </w:tc>
        <w:tc>
          <w:tcPr>
            <w:tcW w:w="3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</w:pPr>
            <w:r>
              <w:t xml:space="preserve">3 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</w:pPr>
            <w:r>
              <w:t xml:space="preserve">4 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</w:pPr>
          </w:p>
        </w:tc>
        <w:tc>
          <w:tcPr>
            <w:tcW w:w="254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</w:pPr>
          </w:p>
        </w:tc>
        <w:tc>
          <w:tcPr>
            <w:tcW w:w="311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</w:pP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</w:pPr>
          </w:p>
        </w:tc>
        <w:tc>
          <w:tcPr>
            <w:tcW w:w="2549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</w:pPr>
          </w:p>
        </w:tc>
        <w:tc>
          <w:tcPr>
            <w:tcW w:w="3118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</w:pPr>
          </w:p>
        </w:tc>
        <w:tc>
          <w:tcPr>
            <w:tcW w:w="3402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</w:pPr>
          </w:p>
        </w:tc>
        <w:tc>
          <w:tcPr>
            <w:tcW w:w="2549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</w:pPr>
          </w:p>
        </w:tc>
        <w:tc>
          <w:tcPr>
            <w:tcW w:w="311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</w:pPr>
          </w:p>
        </w:tc>
        <w:tc>
          <w:tcPr>
            <w:tcW w:w="340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</w:pPr>
          </w:p>
        </w:tc>
      </w:tr>
    </w:tbl>
    <w:p>
      <w:pPr>
        <w:pStyle w:val="6"/>
        <w:jc w:val="right"/>
      </w:pPr>
    </w:p>
    <w:p>
      <w:pPr>
        <w:pStyle w:val="6"/>
        <w:jc w:val="right"/>
      </w:pPr>
    </w:p>
    <w:tbl>
      <w:tblPr>
        <w:tblStyle w:val="3"/>
        <w:tblW w:w="0" w:type="auto"/>
        <w:tblInd w:w="60" w:type="dxa"/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015"/>
      </w:tblGrid>
      <w:t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>
            <w:pPr>
              <w:pStyle w:val="6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>
            <w:pPr>
              <w:pStyle w:val="6"/>
              <w:jc w:val="center"/>
            </w:pPr>
          </w:p>
          <w:p>
            <w:pPr>
              <w:pStyle w:val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>
            <w:pPr>
              <w:pStyle w:val="6"/>
              <w:jc w:val="right"/>
            </w:pPr>
            <w:r>
              <w:t>_______________________________________________</w:t>
            </w:r>
          </w:p>
          <w:p>
            <w:pPr>
              <w:pStyle w:val="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>
            <w:pPr>
              <w:pStyle w:val="6"/>
              <w:jc w:val="right"/>
            </w:pPr>
            <w:r>
              <w:t>_______________________________________________</w:t>
            </w:r>
          </w:p>
          <w:p>
            <w:pPr>
              <w:pStyle w:val="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>
            <w:pPr>
              <w:pStyle w:val="6"/>
              <w:jc w:val="right"/>
            </w:pPr>
            <w:r>
              <w:t>_______________________________________________</w:t>
            </w:r>
          </w:p>
          <w:p>
            <w:pPr>
              <w:pStyle w:val="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>
            <w:pPr>
              <w:pStyle w:val="6"/>
              <w:jc w:val="right"/>
            </w:pPr>
            <w:r>
              <w:t>_______________________________________________</w:t>
            </w:r>
          </w:p>
          <w:p>
            <w:pPr>
              <w:pStyle w:val="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>
      <w:pPr>
        <w:pStyle w:val="6"/>
        <w:jc w:val="right"/>
      </w:pPr>
    </w:p>
    <w:p>
      <w:pPr>
        <w:pStyle w:val="6"/>
        <w:jc w:val="right"/>
      </w:pPr>
    </w:p>
    <w:p>
      <w:pPr>
        <w:pStyle w:val="6"/>
        <w:jc w:val="right"/>
      </w:pPr>
    </w:p>
    <w:p>
      <w:pPr>
        <w:pStyle w:val="6"/>
        <w:jc w:val="right"/>
      </w:pPr>
    </w:p>
    <w:p>
      <w:pPr>
        <w:pStyle w:val="6"/>
        <w:jc w:val="right"/>
      </w:pPr>
    </w:p>
    <w:p>
      <w:pPr>
        <w:pStyle w:val="6"/>
        <w:jc w:val="right"/>
      </w:pPr>
    </w:p>
    <w:p>
      <w:pPr>
        <w:pStyle w:val="6"/>
        <w:jc w:val="right"/>
      </w:pPr>
    </w:p>
    <w:p>
      <w:pPr>
        <w:pStyle w:val="6"/>
        <w:jc w:val="right"/>
      </w:pPr>
    </w:p>
    <w:p>
      <w:pPr>
        <w:pStyle w:val="6"/>
        <w:jc w:val="right"/>
        <w:rPr>
          <w:sz w:val="20"/>
          <w:szCs w:val="20"/>
        </w:rPr>
      </w:pP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мест захоронений на кладбищах,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расположенных на территории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Анучинского муниципального округа </w:t>
      </w:r>
    </w:p>
    <w:p>
      <w:pPr>
        <w:pStyle w:val="6"/>
        <w:jc w:val="right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>
      <w:pPr>
        <w:pStyle w:val="6"/>
        <w:jc w:val="right"/>
        <w:rPr>
          <w:sz w:val="26"/>
          <w:szCs w:val="26"/>
        </w:rPr>
      </w:pPr>
    </w:p>
    <w:p>
      <w:pPr>
        <w:pStyle w:val="6"/>
        <w:jc w:val="right"/>
        <w:rPr>
          <w:sz w:val="26"/>
          <w:szCs w:val="26"/>
        </w:rPr>
      </w:pPr>
    </w:p>
    <w:p>
      <w:pPr>
        <w:pStyle w:val="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>
      <w:pPr>
        <w:pStyle w:val="6"/>
        <w:jc w:val="center"/>
        <w:rPr>
          <w:sz w:val="26"/>
          <w:szCs w:val="26"/>
        </w:rPr>
      </w:pPr>
      <w:r>
        <w:rPr>
          <w:sz w:val="26"/>
          <w:szCs w:val="26"/>
        </w:rPr>
        <w:t>полей для заполнения в электронном документе</w:t>
      </w:r>
    </w:p>
    <w:p>
      <w:pPr>
        <w:pStyle w:val="6"/>
        <w:jc w:val="center"/>
        <w:rPr>
          <w:sz w:val="26"/>
          <w:szCs w:val="26"/>
        </w:rPr>
      </w:pPr>
      <w:r>
        <w:rPr>
          <w:sz w:val="26"/>
          <w:szCs w:val="26"/>
        </w:rPr>
        <w:t>о местах захоронений на кладбищах, расположенных</w:t>
      </w:r>
    </w:p>
    <w:p>
      <w:pPr>
        <w:pStyle w:val="6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Анучинского муниципального округа Приморского края &lt;*&gt;</w:t>
      </w:r>
    </w:p>
    <w:p>
      <w:pPr>
        <w:pStyle w:val="6"/>
        <w:jc w:val="center"/>
        <w:rPr>
          <w:sz w:val="26"/>
          <w:szCs w:val="26"/>
        </w:rPr>
      </w:pPr>
    </w:p>
    <w:tbl>
      <w:tblPr>
        <w:tblStyle w:val="3"/>
        <w:tblW w:w="0" w:type="auto"/>
        <w:tblInd w:w="60" w:type="dxa"/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570"/>
        <w:gridCol w:w="9300"/>
      </w:tblGrid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поля 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по порядку 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кладбища 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места захоронения (одиночное, родственное, семейное (родовое)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места захоронения (указывается по результатам обследования кладбища)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Длина места захоронения (указывается по результатам обследования кладбища)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места захоронения (указывается по результатам обследования кладбища)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места захоронения (указывается по результатам обследования кладбища)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умершего &lt;****&gt;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Имя умершего 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 умершего (при наличии)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 умершего &lt;*****&gt;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смерти умершего 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умершего (указывается количество полных лет умершего)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погребения умершего (гробом, урна с прахом)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Фото места захоронения </w:t>
            </w:r>
          </w:p>
        </w:tc>
      </w:tr>
      <w:tr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</w:p>
        </w:tc>
        <w:tc>
          <w:tcPr>
            <w:tcW w:w="9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Координаты границ захоронения </w:t>
            </w:r>
          </w:p>
        </w:tc>
      </w:tr>
    </w:tbl>
    <w:p>
      <w:pPr>
        <w:pStyle w:val="6"/>
        <w:ind w:firstLine="375"/>
        <w:jc w:val="both"/>
        <w:rPr>
          <w:sz w:val="26"/>
          <w:szCs w:val="26"/>
        </w:rPr>
      </w:pPr>
    </w:p>
    <w:tbl>
      <w:tblPr>
        <w:tblStyle w:val="3"/>
        <w:tblW w:w="0" w:type="auto"/>
        <w:tblInd w:w="10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870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>
            <w:pPr>
              <w:pStyle w:val="6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>
            <w:pPr>
              <w:pStyle w:val="6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>
            <w:pPr>
              <w:pStyle w:val="6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>
            <w:pPr>
              <w:pStyle w:val="6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>
            <w:pPr>
              <w:pStyle w:val="6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>
            <w:pPr>
              <w:pStyle w:val="6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>
            <w:pPr>
              <w:pStyle w:val="6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>
            <w:pPr>
              <w:pStyle w:val="6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>
            <w:pPr>
              <w:pStyle w:val="6"/>
              <w:ind w:firstLine="375"/>
              <w:jc w:val="both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>
      <w:pPr>
        <w:pStyle w:val="6"/>
      </w:pPr>
    </w:p>
    <w:sectPr>
      <w:pgSz w:w="12240" w:h="15840"/>
      <w:pgMar w:top="426" w:right="900" w:bottom="567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Open Sans">
    <w:altName w:val="Segoe U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7D"/>
    <w:rsid w:val="000143ED"/>
    <w:rsid w:val="000437BB"/>
    <w:rsid w:val="00127887"/>
    <w:rsid w:val="001B78A5"/>
    <w:rsid w:val="00242494"/>
    <w:rsid w:val="002C250F"/>
    <w:rsid w:val="00333A38"/>
    <w:rsid w:val="00350E9A"/>
    <w:rsid w:val="003621CB"/>
    <w:rsid w:val="003D2097"/>
    <w:rsid w:val="003F7DBA"/>
    <w:rsid w:val="00463C12"/>
    <w:rsid w:val="004868B4"/>
    <w:rsid w:val="005111B3"/>
    <w:rsid w:val="0064493F"/>
    <w:rsid w:val="006A2FF0"/>
    <w:rsid w:val="00747A15"/>
    <w:rsid w:val="007A447D"/>
    <w:rsid w:val="008254BE"/>
    <w:rsid w:val="008D501A"/>
    <w:rsid w:val="009718CC"/>
    <w:rsid w:val="00996BE5"/>
    <w:rsid w:val="00AC7153"/>
    <w:rsid w:val="00B52E4D"/>
    <w:rsid w:val="00B56320"/>
    <w:rsid w:val="00BC3C2B"/>
    <w:rsid w:val="00C53108"/>
    <w:rsid w:val="00CE13D1"/>
    <w:rsid w:val="00D878CA"/>
    <w:rsid w:val="00EA31A4"/>
    <w:rsid w:val="00ED27F8"/>
    <w:rsid w:val="00F605A6"/>
    <w:rsid w:val="18E0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80"/>
      <w:sz w:val="28"/>
      <w:szCs w:val="28"/>
      <w:u w:val="single"/>
    </w:rPr>
  </w:style>
  <w:style w:type="paragraph" w:styleId="5">
    <w:name w:val="Normal (Web)"/>
    <w:basedOn w:val="1"/>
    <w:qFormat/>
    <w:uiPriority w:val="0"/>
    <w:pPr>
      <w:spacing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Нормальный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8"/>
      <w:szCs w:val="28"/>
      <w:lang w:val="ru-RU" w:eastAsia="ru-RU" w:bidi="ar-SA"/>
    </w:rPr>
  </w:style>
  <w:style w:type="paragraph" w:customStyle="1" w:styleId="7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8"/>
      <w:szCs w:val="28"/>
      <w:lang w:val="ru-RU" w:eastAsia="ru-RU" w:bidi="ar-SA"/>
    </w:rPr>
  </w:style>
  <w:style w:type="paragraph" w:customStyle="1" w:styleId="8">
    <w:name w:val="Заголовок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b/>
      <w:bCs/>
      <w:color w:val="000000"/>
      <w:sz w:val="28"/>
      <w:szCs w:val="28"/>
      <w:lang w:val="ru-RU" w:eastAsia="ru-RU" w:bidi="ar-SA"/>
    </w:rPr>
  </w:style>
  <w:style w:type="paragraph" w:customStyle="1" w:styleId="9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color w:val="000000"/>
      <w:sz w:val="20"/>
      <w:szCs w:val="20"/>
      <w:lang w:val="ru-RU" w:eastAsia="ru-RU" w:bidi="ar-SA"/>
    </w:rPr>
  </w:style>
  <w:style w:type="paragraph" w:customStyle="1" w:styleId="10">
    <w:name w:val="Разметка контекста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8"/>
      <w:szCs w:val="28"/>
      <w:lang w:val="ru-RU" w:eastAsia="ru-RU" w:bidi="ar-SA"/>
    </w:rPr>
  </w:style>
  <w:style w:type="character" w:customStyle="1" w:styleId="11">
    <w:name w:val="ListLabel 20"/>
    <w:qFormat/>
    <w:uiPriority w:val="0"/>
    <w:rPr>
      <w:sz w:val="28"/>
      <w:szCs w:val="28"/>
    </w:rPr>
  </w:style>
  <w:style w:type="paragraph" w:customStyle="1" w:styleId="12">
    <w:name w:val="ConsPlusTitle"/>
    <w:qFormat/>
    <w:uiPriority w:val="0"/>
    <w:pPr>
      <w:widowControl w:val="0"/>
      <w:spacing w:after="0" w:line="240" w:lineRule="auto"/>
    </w:pPr>
    <w:rPr>
      <w:rFonts w:ascii="Times New Roman" w:hAnsi="Times New Roman" w:eastAsia="Courier New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3765</Words>
  <Characters>21466</Characters>
  <Lines>178</Lines>
  <Paragraphs>50</Paragraphs>
  <TotalTime>235</TotalTime>
  <ScaleCrop>false</ScaleCrop>
  <LinksUpToDate>false</LinksUpToDate>
  <CharactersWithSpaces>25181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2020-10-16T12:06:00Z</dcterms:created>
  <dc:creator>Акишина Юлия Олеговна</dc:creator>
  <cp:lastModifiedBy>BurdeynayaOV</cp:lastModifiedBy>
  <cp:lastPrinted>2021-07-06T06:28:00Z</cp:lastPrinted>
  <dcterms:modified xsi:type="dcterms:W3CDTF">2023-06-26T07:16:06Z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97ACBBC0736E4D4A8401BDB62B7770C9</vt:lpwstr>
  </property>
</Properties>
</file>