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F580A" w14:textId="2791E38B" w:rsidR="00E95504" w:rsidRDefault="007A4AEC" w:rsidP="007A4A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выдачи акцизных марок таможенными органами. </w:t>
      </w:r>
    </w:p>
    <w:p w14:paraId="22D30711" w14:textId="14C2DA2A" w:rsidR="007A4AEC" w:rsidRDefault="007A4AEC" w:rsidP="007A4A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383F93" w14:textId="5ADFE688" w:rsidR="007A4AEC" w:rsidRDefault="007A4AEC" w:rsidP="007A4A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 2024 года определены особенности выдачи акцизных марок</w:t>
      </w:r>
      <w:r w:rsidR="00483AF0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Правительством </w:t>
      </w:r>
      <w:r w:rsidR="00483AF0">
        <w:rPr>
          <w:rFonts w:ascii="Times New Roman" w:hAnsi="Times New Roman" w:cs="Times New Roman"/>
          <w:sz w:val="28"/>
          <w:szCs w:val="28"/>
        </w:rPr>
        <w:t xml:space="preserve">Российской Федерации от 15.06.2024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83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804. Ввоз и перемещение иностранной табачной продукции на территории России для продажи разрешается при условии наличия маркировки на 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требительской упаковке. </w:t>
      </w:r>
    </w:p>
    <w:p w14:paraId="424E237B" w14:textId="0DB06199" w:rsidR="007A4AEC" w:rsidRDefault="007A4AEC" w:rsidP="007A4A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Уполномоченные таможенные органы будут выдавать акцизные марки следующим образом:</w:t>
      </w:r>
    </w:p>
    <w:p w14:paraId="429CD90A" w14:textId="66FA7CCF" w:rsidR="007A4AEC" w:rsidRDefault="007A4AEC" w:rsidP="007A4A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Импортёры приобретают акцизные марки в уполномоченных таможенных органах по месту своей государственной регистрации, предоставив посменное заявление о приобретении марок и их предварительную оплату. </w:t>
      </w:r>
    </w:p>
    <w:p w14:paraId="08F1310F" w14:textId="1663B17E" w:rsidR="007A4AEC" w:rsidRDefault="007A4AEC" w:rsidP="007A4A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Таможенные органы выдают акцизные марки без обязательства импортёра использовать их согласно назначению и обеспечения исполнения обязательства импортёра. </w:t>
      </w:r>
    </w:p>
    <w:p w14:paraId="099CED6B" w14:textId="7A155C67" w:rsidR="007A4AEC" w:rsidRDefault="007A4AEC" w:rsidP="007A4A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Выданные таможенным органом акцизные марки имеют индивидуальные серии, отличные от серий марок, выданных до 28 июня 2024 года.</w:t>
      </w:r>
    </w:p>
    <w:p w14:paraId="2086DD6C" w14:textId="4DB654A6" w:rsidR="007A4AEC" w:rsidRPr="007A4AEC" w:rsidRDefault="007A4AEC" w:rsidP="007A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использованием акцизных марок не осуществля</w:t>
      </w:r>
      <w:r w:rsidR="00A47F76">
        <w:rPr>
          <w:rFonts w:ascii="Times New Roman" w:hAnsi="Times New Roman" w:cs="Times New Roman"/>
          <w:sz w:val="28"/>
          <w:szCs w:val="28"/>
        </w:rPr>
        <w:t xml:space="preserve">ется, а возврат поврежденных и неиспользованных марок и уплата за них денежных средств не предусмотрены. </w:t>
      </w:r>
    </w:p>
    <w:p w14:paraId="3396B5A9" w14:textId="77777777" w:rsidR="007A4AEC" w:rsidRDefault="007A4AEC" w:rsidP="007A4A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17B761D" w14:textId="5D5AD889" w:rsidR="007A4AEC" w:rsidRPr="007A4AEC" w:rsidRDefault="007A4AEC" w:rsidP="007A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7A4AEC" w:rsidRPr="007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51F5"/>
    <w:multiLevelType w:val="hybridMultilevel"/>
    <w:tmpl w:val="D5941E0A"/>
    <w:lvl w:ilvl="0" w:tplc="19483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06"/>
    <w:rsid w:val="00483AF0"/>
    <w:rsid w:val="00502406"/>
    <w:rsid w:val="007A4AEC"/>
    <w:rsid w:val="00807407"/>
    <w:rsid w:val="00A47F76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836D"/>
  <w15:chartTrackingRefBased/>
  <w15:docId w15:val="{5BED2CE8-9FAE-44AC-9EBC-D3163591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Вилюмс Марина Анатольевна</dc:creator>
  <cp:keywords/>
  <dc:description/>
  <cp:lastModifiedBy>Вилюмс Марина Анатольевна</cp:lastModifiedBy>
  <cp:revision>3</cp:revision>
  <dcterms:created xsi:type="dcterms:W3CDTF">2024-06-25T02:47:00Z</dcterms:created>
  <dcterms:modified xsi:type="dcterms:W3CDTF">2024-06-25T06:01:00Z</dcterms:modified>
</cp:coreProperties>
</file>